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04341392"/>
        <w:docPartObj>
          <w:docPartGallery w:val="Cover Pages"/>
          <w:docPartUnique/>
        </w:docPartObj>
      </w:sdtPr>
      <w:sdtContent>
        <w:p w:rsidR="0006374D" w:rsidRDefault="00800839">
          <w:r>
            <w:rPr>
              <w:noProof/>
            </w:rPr>
            <w:drawing>
              <wp:anchor distT="0" distB="0" distL="114300" distR="114300" simplePos="0" relativeHeight="251665408" behindDoc="0" locked="0" layoutInCell="1" allowOverlap="1">
                <wp:simplePos x="0" y="0"/>
                <wp:positionH relativeFrom="column">
                  <wp:posOffset>-257810</wp:posOffset>
                </wp:positionH>
                <wp:positionV relativeFrom="paragraph">
                  <wp:posOffset>-372745</wp:posOffset>
                </wp:positionV>
                <wp:extent cx="1425575" cy="1148080"/>
                <wp:effectExtent l="19050" t="0" r="3175" b="0"/>
                <wp:wrapThrough wrapText="bothSides">
                  <wp:wrapPolygon edited="0">
                    <wp:start x="-289" y="0"/>
                    <wp:lineTo x="-289" y="21146"/>
                    <wp:lineTo x="21648" y="21146"/>
                    <wp:lineTo x="21648" y="0"/>
                    <wp:lineTo x="-289" y="0"/>
                  </wp:wrapPolygon>
                </wp:wrapThrough>
                <wp:docPr id="3" name="Picture 2" descr="logo-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d.png"/>
                        <pic:cNvPicPr/>
                      </pic:nvPicPr>
                      <pic:blipFill>
                        <a:blip r:embed="rId9" cstate="print"/>
                        <a:stretch>
                          <a:fillRect/>
                        </a:stretch>
                      </pic:blipFill>
                      <pic:spPr>
                        <a:xfrm>
                          <a:off x="0" y="0"/>
                          <a:ext cx="1425575" cy="1148080"/>
                        </a:xfrm>
                        <a:prstGeom prst="rect">
                          <a:avLst/>
                        </a:prstGeom>
                      </pic:spPr>
                    </pic:pic>
                  </a:graphicData>
                </a:graphic>
              </wp:anchor>
            </w:drawing>
          </w:r>
          <w:r w:rsidR="00EE0958">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52"/>
                          <w:szCs w:val="5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06374D" w:rsidRPr="0006374D" w:rsidRDefault="00C34640">
                          <w:pPr>
                            <w:pStyle w:val="NoSpacing"/>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 xml:space="preserve">Malaysian Financial Reporting </w:t>
                          </w:r>
                          <w:proofErr w:type="gramStart"/>
                          <w:r>
                            <w:rPr>
                              <w:rFonts w:asciiTheme="majorHAnsi" w:eastAsiaTheme="majorEastAsia" w:hAnsiTheme="majorHAnsi" w:cstheme="majorBidi"/>
                              <w:color w:val="FFFFFF" w:themeColor="background1"/>
                              <w:sz w:val="52"/>
                              <w:szCs w:val="52"/>
                            </w:rPr>
                            <w:t>Standards(</w:t>
                          </w:r>
                          <w:proofErr w:type="gramEnd"/>
                          <w:r>
                            <w:rPr>
                              <w:rFonts w:asciiTheme="majorHAnsi" w:eastAsiaTheme="majorEastAsia" w:hAnsiTheme="majorHAnsi" w:cstheme="majorBidi"/>
                              <w:color w:val="FFFFFF" w:themeColor="background1"/>
                              <w:sz w:val="52"/>
                              <w:szCs w:val="52"/>
                            </w:rPr>
                            <w:t>MFRS) Made Simple for Directors and Senior Management</w:t>
                          </w:r>
                        </w:p>
                      </w:sdtContent>
                    </w:sdt>
                  </w:txbxContent>
                </v:textbox>
                <w10:wrap anchorx="page" anchory="page"/>
              </v:rect>
            </w:pict>
          </w:r>
          <w:r w:rsidR="00EE0958">
            <w:rPr>
              <w:noProof/>
            </w:rPr>
            <w:pict>
              <v:group id="_x0000_s1026" style="position:absolute;margin-left:3367.9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10"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Content>
                          <w:p w:rsidR="0006374D" w:rsidRDefault="0006374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w:t>
                            </w:r>
                            <w:r w:rsidR="00B259CD">
                              <w:rPr>
                                <w:rFonts w:asciiTheme="majorHAnsi" w:eastAsiaTheme="majorEastAsia" w:hAnsiTheme="majorHAnsi" w:cstheme="majorBidi"/>
                                <w:b/>
                                <w:bCs/>
                                <w:color w:val="FFFFFF" w:themeColor="background1"/>
                                <w:sz w:val="96"/>
                                <w:szCs w:val="96"/>
                              </w:rPr>
                              <w:t>6</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06374D" w:rsidRDefault="0006374D">
                        <w:pPr>
                          <w:pStyle w:val="NoSpacing"/>
                          <w:spacing w:line="360" w:lineRule="auto"/>
                          <w:rPr>
                            <w:color w:val="FFFFFF" w:themeColor="background1"/>
                          </w:rPr>
                        </w:pPr>
                      </w:p>
                      <w:p w:rsidR="0006374D" w:rsidRDefault="0006374D">
                        <w:pPr>
                          <w:pStyle w:val="NoSpacing"/>
                          <w:spacing w:line="360" w:lineRule="auto"/>
                          <w:rPr>
                            <w:color w:val="FFFFFF" w:themeColor="background1"/>
                          </w:rPr>
                        </w:pPr>
                      </w:p>
                      <w:p w:rsidR="0006374D" w:rsidRPr="0006374D" w:rsidRDefault="0006374D">
                        <w:pPr>
                          <w:pStyle w:val="NoSpacing"/>
                          <w:spacing w:line="360" w:lineRule="auto"/>
                          <w:rPr>
                            <w:color w:val="FFFFFF" w:themeColor="background1"/>
                            <w:sz w:val="40"/>
                            <w:szCs w:val="40"/>
                          </w:rPr>
                        </w:pPr>
                      </w:p>
                    </w:txbxContent>
                  </v:textbox>
                </v:rect>
                <w10:wrap anchorx="page" anchory="page"/>
              </v:group>
            </w:pict>
          </w:r>
        </w:p>
        <w:p w:rsidR="0006374D" w:rsidRDefault="005D234E">
          <w:r>
            <w:rPr>
              <w:noProof/>
            </w:rPr>
            <w:lastRenderedPageBreak/>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11800" cy="3435350"/>
                <wp:effectExtent l="19050" t="19050" r="12700" b="12700"/>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cstate="print"/>
                        <a:stretch>
                          <a:fillRect/>
                        </a:stretch>
                      </pic:blipFill>
                      <pic:spPr>
                        <a:xfrm>
                          <a:off x="0" y="0"/>
                          <a:ext cx="5511800" cy="3435350"/>
                        </a:xfrm>
                        <a:prstGeom prst="rect">
                          <a:avLst/>
                        </a:prstGeom>
                        <a:ln w="12700">
                          <a:solidFill>
                            <a:schemeClr val="bg1"/>
                          </a:solidFill>
                        </a:ln>
                      </pic:spPr>
                    </pic:pic>
                  </a:graphicData>
                </a:graphic>
              </wp:anchor>
            </w:drawing>
          </w:r>
          <w:r w:rsidR="00EE0958">
            <w:rPr>
              <w:noProof/>
              <w:lang w:eastAsia="zh-TW"/>
            </w:rPr>
            <w:pict>
              <v:shapetype id="_x0000_t202" coordsize="21600,21600" o:spt="202" path="m,l,21600r21600,l21600,xe">
                <v:stroke joinstyle="miter"/>
                <v:path gradientshapeok="t" o:connecttype="rect"/>
              </v:shapetype>
              <v:shape id="_x0000_s1033" type="#_x0000_t202" style="position:absolute;margin-left:-267.85pt;margin-top:53.95pt;width:140.85pt;height:26pt;z-index:251664384;mso-position-horizontal-relative:text;mso-position-vertical-relative:text;mso-width-relative:margin;mso-height-relative:margin" filled="f" stroked="f">
                <v:textbox>
                  <w:txbxContent>
                    <w:p w:rsidR="00800839" w:rsidRPr="00800839" w:rsidRDefault="00800839">
                      <w:pPr>
                        <w:rPr>
                          <w:sz w:val="32"/>
                          <w:szCs w:val="32"/>
                        </w:rPr>
                      </w:pPr>
                      <w:r w:rsidRPr="00800839">
                        <w:rPr>
                          <w:sz w:val="32"/>
                          <w:szCs w:val="32"/>
                        </w:rPr>
                        <w:t>BURSATRA</w:t>
                      </w:r>
                    </w:p>
                  </w:txbxContent>
                </v:textbox>
              </v:shape>
            </w:pict>
          </w:r>
          <w:r w:rsidR="0006374D">
            <w:br w:type="page"/>
          </w:r>
        </w:p>
      </w:sdtContent>
    </w:sdt>
    <w:p w:rsidR="008D444E" w:rsidRDefault="008D444E" w:rsidP="00E11DAF">
      <w:pPr>
        <w:rPr>
          <w:noProof/>
          <w:sz w:val="20"/>
          <w:szCs w:val="20"/>
        </w:rPr>
        <w:sectPr w:rsidR="008D444E" w:rsidSect="00374D0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num="2" w:space="720"/>
          <w:titlePg/>
          <w:docGrid w:linePitch="360"/>
        </w:sectPr>
      </w:pPr>
    </w:p>
    <w:p w:rsidR="00E11DAF" w:rsidRDefault="00EE0958" w:rsidP="00557991">
      <w:pPr>
        <w:spacing w:after="0" w:line="240" w:lineRule="auto"/>
        <w:rPr>
          <w:noProof/>
          <w:sz w:val="20"/>
          <w:szCs w:val="20"/>
        </w:rPr>
      </w:pPr>
      <w:r w:rsidRPr="00EE0958">
        <w:rPr>
          <w:noProof/>
        </w:rPr>
        <w:lastRenderedPageBreak/>
        <w:pict>
          <v:roundrect id="_x0000_s1035" style="position:absolute;margin-left:-9.75pt;margin-top:-3.05pt;width:150.55pt;height:23.4pt;z-index:-251650048" arcsize="10923f">
            <v:shadow on="t" offset="3pt" offset2="2pt"/>
            <v:textbox>
              <w:txbxContent>
                <w:p w:rsidR="00374D0B" w:rsidRPr="001034F5" w:rsidRDefault="0074794A" w:rsidP="00374D0B">
                  <w:pPr>
                    <w:rPr>
                      <w:sz w:val="20"/>
                    </w:rPr>
                  </w:pPr>
                  <w:r>
                    <w:rPr>
                      <w:sz w:val="20"/>
                    </w:rPr>
                    <w:t>COURSE</w:t>
                  </w:r>
                  <w:r w:rsidR="00374D0B" w:rsidRPr="001034F5">
                    <w:rPr>
                      <w:sz w:val="20"/>
                    </w:rPr>
                    <w:t xml:space="preserve"> OBJECTIVE</w:t>
                  </w:r>
                </w:p>
              </w:txbxContent>
            </v:textbox>
          </v:roundrect>
        </w:pict>
      </w:r>
    </w:p>
    <w:p w:rsidR="00B27B93" w:rsidRDefault="00B27B93" w:rsidP="00557991">
      <w:pPr>
        <w:spacing w:after="0" w:line="240" w:lineRule="auto"/>
        <w:jc w:val="both"/>
        <w:rPr>
          <w:noProof/>
          <w:sz w:val="20"/>
          <w:szCs w:val="20"/>
        </w:rPr>
      </w:pPr>
    </w:p>
    <w:p w:rsidR="00374D0B" w:rsidRDefault="00056F1E" w:rsidP="0074794A">
      <w:pPr>
        <w:spacing w:after="0" w:line="240" w:lineRule="auto"/>
        <w:jc w:val="both"/>
        <w:rPr>
          <w:noProof/>
          <w:sz w:val="20"/>
          <w:szCs w:val="20"/>
        </w:rPr>
      </w:pPr>
      <w:r>
        <w:rPr>
          <w:noProof/>
          <w:sz w:val="20"/>
          <w:szCs w:val="20"/>
        </w:rPr>
        <w:t xml:space="preserve">This </w:t>
      </w:r>
      <w:r w:rsidR="0074794A" w:rsidRPr="0074794A">
        <w:rPr>
          <w:noProof/>
          <w:sz w:val="20"/>
          <w:szCs w:val="20"/>
        </w:rPr>
        <w:t>program is aimed at providing in-depth knowledge to the relevant MFRS and overall</w:t>
      </w:r>
      <w:r w:rsidR="0074794A">
        <w:rPr>
          <w:noProof/>
          <w:sz w:val="20"/>
          <w:szCs w:val="20"/>
        </w:rPr>
        <w:t xml:space="preserve"> </w:t>
      </w:r>
      <w:r w:rsidR="0074794A" w:rsidRPr="0074794A">
        <w:rPr>
          <w:noProof/>
          <w:sz w:val="20"/>
          <w:szCs w:val="20"/>
        </w:rPr>
        <w:t>accounting frameworks with regards to recognition of revenue, cost, assets and its related issues. The</w:t>
      </w:r>
      <w:r w:rsidR="0074794A">
        <w:rPr>
          <w:noProof/>
          <w:sz w:val="20"/>
          <w:szCs w:val="20"/>
        </w:rPr>
        <w:t xml:space="preserve"> </w:t>
      </w:r>
      <w:r w:rsidR="0074794A" w:rsidRPr="0074794A">
        <w:rPr>
          <w:noProof/>
          <w:sz w:val="20"/>
          <w:szCs w:val="20"/>
        </w:rPr>
        <w:t>program will enable to assist participants to have a better understanding of the commonly misunderstood</w:t>
      </w:r>
      <w:r w:rsidR="0074794A">
        <w:rPr>
          <w:noProof/>
          <w:sz w:val="20"/>
          <w:szCs w:val="20"/>
        </w:rPr>
        <w:t xml:space="preserve"> </w:t>
      </w:r>
      <w:r w:rsidR="0074794A" w:rsidRPr="0074794A">
        <w:rPr>
          <w:noProof/>
          <w:sz w:val="20"/>
          <w:szCs w:val="20"/>
        </w:rPr>
        <w:t>issues in financial reporting, such as dividends, fair value adjustment, revaluation surplus, impairment,</w:t>
      </w:r>
      <w:r w:rsidR="0074794A">
        <w:rPr>
          <w:noProof/>
          <w:sz w:val="20"/>
          <w:szCs w:val="20"/>
        </w:rPr>
        <w:t xml:space="preserve"> </w:t>
      </w:r>
      <w:r w:rsidR="0074794A" w:rsidRPr="0074794A">
        <w:rPr>
          <w:noProof/>
          <w:sz w:val="20"/>
          <w:szCs w:val="20"/>
        </w:rPr>
        <w:t>reversal of losses and many more. The course will also provide relevant accounting entries for each of the</w:t>
      </w:r>
      <w:r w:rsidR="0074794A">
        <w:rPr>
          <w:noProof/>
          <w:sz w:val="20"/>
          <w:szCs w:val="20"/>
        </w:rPr>
        <w:t xml:space="preserve"> </w:t>
      </w:r>
      <w:r w:rsidR="0074794A" w:rsidRPr="0074794A">
        <w:rPr>
          <w:noProof/>
          <w:sz w:val="20"/>
          <w:szCs w:val="20"/>
        </w:rPr>
        <w:t>transactions discussed during the program so that the financial statement is presented correctly, to</w:t>
      </w:r>
      <w:r w:rsidR="0074794A">
        <w:rPr>
          <w:noProof/>
          <w:sz w:val="20"/>
          <w:szCs w:val="20"/>
        </w:rPr>
        <w:t xml:space="preserve"> </w:t>
      </w:r>
      <w:r w:rsidR="0074794A" w:rsidRPr="0074794A">
        <w:rPr>
          <w:noProof/>
          <w:sz w:val="20"/>
          <w:szCs w:val="20"/>
        </w:rPr>
        <w:t>enable decision makers to make an informed and accurate decision. Participants will also have a firm</w:t>
      </w:r>
      <w:r w:rsidR="0074794A">
        <w:rPr>
          <w:noProof/>
          <w:sz w:val="20"/>
          <w:szCs w:val="20"/>
        </w:rPr>
        <w:t xml:space="preserve"> </w:t>
      </w:r>
      <w:r w:rsidR="0074794A" w:rsidRPr="0074794A">
        <w:rPr>
          <w:noProof/>
          <w:sz w:val="20"/>
          <w:szCs w:val="20"/>
        </w:rPr>
        <w:t>grasp on the financial figures that goes into the financial statement. Companies need to realize that</w:t>
      </w:r>
      <w:r w:rsidR="0074794A">
        <w:rPr>
          <w:noProof/>
          <w:sz w:val="20"/>
          <w:szCs w:val="20"/>
        </w:rPr>
        <w:t xml:space="preserve"> </w:t>
      </w:r>
      <w:r w:rsidR="0074794A" w:rsidRPr="0074794A">
        <w:rPr>
          <w:noProof/>
          <w:sz w:val="20"/>
          <w:szCs w:val="20"/>
        </w:rPr>
        <w:t>quality of the financial report is a major factor to attract public investment.</w:t>
      </w:r>
    </w:p>
    <w:p w:rsidR="00792F82" w:rsidRDefault="00EE0958" w:rsidP="00792F82">
      <w:pPr>
        <w:spacing w:after="0" w:line="240" w:lineRule="auto"/>
        <w:jc w:val="both"/>
        <w:rPr>
          <w:noProof/>
          <w:sz w:val="20"/>
          <w:szCs w:val="20"/>
        </w:rPr>
      </w:pPr>
      <w:r w:rsidRPr="00EE0958">
        <w:rPr>
          <w:noProof/>
        </w:rPr>
        <w:pict>
          <v:roundrect id="_x0000_s1050" style="position:absolute;left:0;text-align:left;margin-left:-9.75pt;margin-top:10.7pt;width:150.55pt;height:23.4pt;z-index:-251636736" arcsize="10923f">
            <v:shadow on="t" offset="3pt" offset2="2pt"/>
            <v:textbox>
              <w:txbxContent>
                <w:p w:rsidR="0074794A" w:rsidRPr="001034F5" w:rsidRDefault="0074794A" w:rsidP="0074794A">
                  <w:pPr>
                    <w:rPr>
                      <w:sz w:val="20"/>
                    </w:rPr>
                  </w:pPr>
                  <w:r>
                    <w:rPr>
                      <w:sz w:val="20"/>
                    </w:rPr>
                    <w:t>COURSE STRUCTURE</w:t>
                  </w:r>
                </w:p>
              </w:txbxContent>
            </v:textbox>
          </v:roundrect>
        </w:pict>
      </w:r>
    </w:p>
    <w:p w:rsidR="00374D0B" w:rsidRDefault="00374D0B" w:rsidP="00374D0B">
      <w:pPr>
        <w:jc w:val="both"/>
        <w:rPr>
          <w:noProof/>
          <w:sz w:val="20"/>
          <w:szCs w:val="20"/>
        </w:rPr>
      </w:pPr>
    </w:p>
    <w:p w:rsidR="0074794A" w:rsidRPr="0074794A" w:rsidRDefault="0074794A" w:rsidP="00792F82">
      <w:pPr>
        <w:spacing w:after="0" w:line="240" w:lineRule="auto"/>
        <w:jc w:val="both"/>
        <w:rPr>
          <w:sz w:val="20"/>
          <w:szCs w:val="20"/>
        </w:rPr>
      </w:pPr>
      <w:r w:rsidRPr="0074794A">
        <w:rPr>
          <w:sz w:val="20"/>
          <w:szCs w:val="20"/>
        </w:rPr>
        <w:t>This program will be conducted via interactive lecture supported by PowerPoint presentation with</w:t>
      </w:r>
    </w:p>
    <w:p w:rsidR="0074794A" w:rsidRPr="0074794A" w:rsidRDefault="0074794A" w:rsidP="0074794A">
      <w:pPr>
        <w:spacing w:after="0" w:line="240" w:lineRule="auto"/>
        <w:jc w:val="both"/>
        <w:rPr>
          <w:sz w:val="20"/>
          <w:szCs w:val="20"/>
        </w:rPr>
      </w:pPr>
      <w:proofErr w:type="gramStart"/>
      <w:r w:rsidRPr="0074794A">
        <w:rPr>
          <w:sz w:val="20"/>
          <w:szCs w:val="20"/>
        </w:rPr>
        <w:t>practical</w:t>
      </w:r>
      <w:proofErr w:type="gramEnd"/>
      <w:r w:rsidRPr="0074794A">
        <w:rPr>
          <w:sz w:val="20"/>
          <w:szCs w:val="20"/>
        </w:rPr>
        <w:t xml:space="preserve"> examples. Relevant exercises related to the respective MFRS and practical learning</w:t>
      </w:r>
    </w:p>
    <w:p w:rsidR="00374D0B" w:rsidRDefault="0074794A" w:rsidP="0074794A">
      <w:pPr>
        <w:spacing w:after="0" w:line="240" w:lineRule="auto"/>
        <w:jc w:val="both"/>
        <w:rPr>
          <w:sz w:val="20"/>
          <w:szCs w:val="20"/>
        </w:rPr>
      </w:pPr>
      <w:proofErr w:type="gramStart"/>
      <w:r w:rsidRPr="0074794A">
        <w:rPr>
          <w:sz w:val="20"/>
          <w:szCs w:val="20"/>
        </w:rPr>
        <w:t>computation</w:t>
      </w:r>
      <w:proofErr w:type="gramEnd"/>
      <w:r w:rsidRPr="0074794A">
        <w:rPr>
          <w:sz w:val="20"/>
          <w:szCs w:val="20"/>
        </w:rPr>
        <w:t xml:space="preserve"> exercises and analysis are also included.</w:t>
      </w:r>
      <w:r w:rsidRPr="0074794A">
        <w:rPr>
          <w:sz w:val="20"/>
          <w:szCs w:val="20"/>
        </w:rPr>
        <w:cr/>
      </w:r>
      <w:r w:rsidR="00EE0958">
        <w:rPr>
          <w:noProof/>
          <w:sz w:val="20"/>
          <w:szCs w:val="20"/>
        </w:rPr>
        <w:pict>
          <v:roundrect id="_x0000_s1037" style="position:absolute;left:0;text-align:left;margin-left:-9.75pt;margin-top:34.15pt;width:150.55pt;height:23.4pt;z-index:-251648000" arcsize="10923f">
            <v:shadow on="t" offset="3pt" offset2="2pt"/>
            <v:textbox style="mso-next-textbox:#_x0000_s1037">
              <w:txbxContent>
                <w:p w:rsidR="00374D0B" w:rsidRPr="001034F5" w:rsidRDefault="00374D0B" w:rsidP="00374D0B">
                  <w:pPr>
                    <w:rPr>
                      <w:sz w:val="20"/>
                    </w:rPr>
                  </w:pPr>
                  <w:r>
                    <w:rPr>
                      <w:sz w:val="20"/>
                    </w:rPr>
                    <w:t>COURSE CONTENT</w:t>
                  </w:r>
                </w:p>
              </w:txbxContent>
            </v:textbox>
          </v:roundrect>
        </w:pict>
      </w:r>
    </w:p>
    <w:p w:rsidR="0074794A" w:rsidRDefault="0074794A" w:rsidP="00B27B93">
      <w:pPr>
        <w:spacing w:after="0" w:line="240" w:lineRule="auto"/>
        <w:jc w:val="both"/>
        <w:rPr>
          <w:sz w:val="20"/>
          <w:szCs w:val="20"/>
        </w:rPr>
      </w:pPr>
    </w:p>
    <w:p w:rsidR="0074794A" w:rsidRDefault="0074794A" w:rsidP="00B27B93">
      <w:pPr>
        <w:spacing w:after="0" w:line="240" w:lineRule="auto"/>
        <w:jc w:val="both"/>
        <w:rPr>
          <w:rFonts w:cs="Arial"/>
          <w:b/>
          <w:sz w:val="20"/>
          <w:lang w:val="en-MY"/>
        </w:rPr>
      </w:pPr>
    </w:p>
    <w:p w:rsidR="00374D0B" w:rsidRPr="0074794A" w:rsidRDefault="0074794A" w:rsidP="00EA763B">
      <w:pPr>
        <w:spacing w:after="0" w:line="240" w:lineRule="auto"/>
        <w:jc w:val="both"/>
        <w:rPr>
          <w:rFonts w:cs="Arial"/>
          <w:b/>
          <w:sz w:val="20"/>
          <w:lang w:val="en-MY"/>
        </w:rPr>
      </w:pPr>
      <w:r w:rsidRPr="0074794A">
        <w:rPr>
          <w:rFonts w:cs="Arial"/>
          <w:b/>
          <w:sz w:val="20"/>
          <w:lang w:val="en-MY"/>
        </w:rPr>
        <w:t>MFRS 101 Presentation of financial statements</w:t>
      </w:r>
    </w:p>
    <w:p w:rsidR="0074794A" w:rsidRPr="0074794A" w:rsidRDefault="0074794A" w:rsidP="0074794A">
      <w:pPr>
        <w:pStyle w:val="ListParagraph"/>
        <w:numPr>
          <w:ilvl w:val="0"/>
          <w:numId w:val="6"/>
        </w:numPr>
        <w:spacing w:after="0" w:line="240" w:lineRule="auto"/>
        <w:jc w:val="both"/>
        <w:rPr>
          <w:rFonts w:cs="Arial"/>
          <w:sz w:val="20"/>
          <w:lang w:val="en-MY"/>
        </w:rPr>
      </w:pPr>
      <w:r w:rsidRPr="0074794A">
        <w:rPr>
          <w:rFonts w:cs="Arial"/>
          <w:sz w:val="20"/>
          <w:lang w:val="en-MY"/>
        </w:rPr>
        <w:t>Statement of Comprehensive Income and Statement of Changes in Equity</w:t>
      </w:r>
    </w:p>
    <w:p w:rsidR="0074794A" w:rsidRPr="0074794A" w:rsidRDefault="0074794A" w:rsidP="0074794A">
      <w:pPr>
        <w:pStyle w:val="ListParagraph"/>
        <w:numPr>
          <w:ilvl w:val="0"/>
          <w:numId w:val="6"/>
        </w:numPr>
        <w:spacing w:after="0" w:line="240" w:lineRule="auto"/>
        <w:jc w:val="both"/>
        <w:rPr>
          <w:rFonts w:cs="Arial"/>
          <w:sz w:val="20"/>
          <w:lang w:val="en-MY"/>
        </w:rPr>
      </w:pPr>
      <w:r w:rsidRPr="0074794A">
        <w:rPr>
          <w:rFonts w:cs="Arial"/>
          <w:sz w:val="20"/>
          <w:lang w:val="en-MY"/>
        </w:rPr>
        <w:t>Overall considerations: Fair presentation, Materiality and aggregation, offsetting, current/non-current distinction</w:t>
      </w:r>
    </w:p>
    <w:p w:rsidR="00374D0B" w:rsidRPr="00B27B93" w:rsidRDefault="0074794A" w:rsidP="0074794A">
      <w:pPr>
        <w:spacing w:after="0" w:line="240" w:lineRule="auto"/>
        <w:jc w:val="both"/>
        <w:rPr>
          <w:rFonts w:cs="Arial"/>
          <w:b/>
          <w:sz w:val="20"/>
          <w:lang w:val="en-MY"/>
        </w:rPr>
      </w:pPr>
      <w:r w:rsidRPr="00B27B93">
        <w:rPr>
          <w:rFonts w:cs="Arial"/>
          <w:b/>
          <w:sz w:val="20"/>
          <w:lang w:val="en-MY"/>
        </w:rPr>
        <w:t>MFRS 107 Statement of Cash</w:t>
      </w:r>
    </w:p>
    <w:p w:rsidR="0074794A" w:rsidRPr="00B27B93" w:rsidRDefault="0074794A" w:rsidP="0074794A">
      <w:pPr>
        <w:pStyle w:val="ListParagraph"/>
        <w:numPr>
          <w:ilvl w:val="0"/>
          <w:numId w:val="7"/>
        </w:numPr>
        <w:spacing w:after="0" w:line="240" w:lineRule="auto"/>
        <w:jc w:val="both"/>
        <w:rPr>
          <w:sz w:val="20"/>
          <w:szCs w:val="20"/>
        </w:rPr>
      </w:pPr>
      <w:r w:rsidRPr="00B27B93">
        <w:rPr>
          <w:sz w:val="20"/>
          <w:szCs w:val="20"/>
        </w:rPr>
        <w:t>procedures of preparing the Statement of Cash Flows</w:t>
      </w:r>
    </w:p>
    <w:p w:rsidR="0074794A" w:rsidRPr="00B27B93" w:rsidRDefault="0074794A" w:rsidP="0074794A">
      <w:pPr>
        <w:pStyle w:val="ListParagraph"/>
        <w:numPr>
          <w:ilvl w:val="0"/>
          <w:numId w:val="7"/>
        </w:numPr>
        <w:spacing w:after="0" w:line="240" w:lineRule="auto"/>
        <w:jc w:val="both"/>
        <w:rPr>
          <w:sz w:val="20"/>
          <w:szCs w:val="20"/>
        </w:rPr>
      </w:pPr>
      <w:r w:rsidRPr="00B27B93">
        <w:rPr>
          <w:sz w:val="20"/>
          <w:szCs w:val="20"/>
        </w:rPr>
        <w:t>Direct and indirect method</w:t>
      </w:r>
    </w:p>
    <w:p w:rsidR="00557991" w:rsidRDefault="0074794A" w:rsidP="00557991">
      <w:pPr>
        <w:pStyle w:val="ListParagraph"/>
        <w:numPr>
          <w:ilvl w:val="0"/>
          <w:numId w:val="7"/>
        </w:numPr>
        <w:spacing w:after="0" w:line="240" w:lineRule="auto"/>
        <w:jc w:val="both"/>
        <w:rPr>
          <w:sz w:val="20"/>
          <w:szCs w:val="20"/>
        </w:rPr>
      </w:pPr>
      <w:r w:rsidRPr="00557991">
        <w:rPr>
          <w:sz w:val="20"/>
          <w:szCs w:val="20"/>
        </w:rPr>
        <w:t>Items of classifying cash flows from operating, investing and financing activities</w:t>
      </w:r>
    </w:p>
    <w:p w:rsidR="00B27B93" w:rsidRPr="00557991" w:rsidRDefault="00B27B93" w:rsidP="00557991">
      <w:pPr>
        <w:spacing w:after="0" w:line="240" w:lineRule="auto"/>
        <w:jc w:val="both"/>
        <w:rPr>
          <w:sz w:val="20"/>
          <w:szCs w:val="20"/>
        </w:rPr>
      </w:pPr>
      <w:r w:rsidRPr="00557991">
        <w:rPr>
          <w:rFonts w:cs="Arial"/>
          <w:b/>
          <w:sz w:val="20"/>
          <w:lang w:val="en-MY"/>
        </w:rPr>
        <w:t>MFRS 118 Revenue</w:t>
      </w:r>
    </w:p>
    <w:p w:rsidR="00B27B93" w:rsidRPr="00B27B93" w:rsidRDefault="00B27B93" w:rsidP="00B27B93">
      <w:pPr>
        <w:pStyle w:val="ListParagraph"/>
        <w:numPr>
          <w:ilvl w:val="0"/>
          <w:numId w:val="8"/>
        </w:numPr>
        <w:spacing w:after="0" w:line="240" w:lineRule="auto"/>
        <w:jc w:val="both"/>
        <w:rPr>
          <w:sz w:val="20"/>
          <w:szCs w:val="20"/>
        </w:rPr>
      </w:pPr>
      <w:r w:rsidRPr="00B27B93">
        <w:rPr>
          <w:sz w:val="20"/>
          <w:szCs w:val="20"/>
        </w:rPr>
        <w:t>Measurement and timing of revenue recognition</w:t>
      </w:r>
    </w:p>
    <w:p w:rsidR="00B27B93" w:rsidRPr="00B27B93" w:rsidRDefault="00B27B93" w:rsidP="00B27B93">
      <w:pPr>
        <w:pStyle w:val="ListParagraph"/>
        <w:numPr>
          <w:ilvl w:val="0"/>
          <w:numId w:val="8"/>
        </w:numPr>
        <w:spacing w:after="0" w:line="240" w:lineRule="auto"/>
        <w:jc w:val="both"/>
        <w:rPr>
          <w:sz w:val="20"/>
          <w:szCs w:val="20"/>
        </w:rPr>
      </w:pPr>
      <w:r w:rsidRPr="00B27B93">
        <w:rPr>
          <w:sz w:val="20"/>
          <w:szCs w:val="20"/>
        </w:rPr>
        <w:t>Recognition of sales of goods and service revenue</w:t>
      </w:r>
    </w:p>
    <w:p w:rsidR="00B27B93" w:rsidRPr="00B27B93" w:rsidRDefault="00B27B93" w:rsidP="00B27B93">
      <w:pPr>
        <w:pStyle w:val="ListParagraph"/>
        <w:numPr>
          <w:ilvl w:val="0"/>
          <w:numId w:val="8"/>
        </w:numPr>
        <w:spacing w:after="0" w:line="240" w:lineRule="auto"/>
        <w:jc w:val="both"/>
        <w:rPr>
          <w:sz w:val="20"/>
          <w:szCs w:val="20"/>
        </w:rPr>
      </w:pPr>
      <w:r w:rsidRPr="00B27B93">
        <w:rPr>
          <w:sz w:val="20"/>
          <w:szCs w:val="20"/>
        </w:rPr>
        <w:t>Recognition of interest income, royalties and dividends</w:t>
      </w:r>
    </w:p>
    <w:p w:rsidR="00B27B93" w:rsidRPr="00B27B93" w:rsidRDefault="00B27B93" w:rsidP="00B27B93">
      <w:pPr>
        <w:pStyle w:val="ListParagraph"/>
        <w:numPr>
          <w:ilvl w:val="0"/>
          <w:numId w:val="8"/>
        </w:numPr>
        <w:spacing w:after="0" w:line="240" w:lineRule="auto"/>
        <w:jc w:val="both"/>
        <w:rPr>
          <w:sz w:val="20"/>
          <w:szCs w:val="20"/>
        </w:rPr>
      </w:pPr>
      <w:r w:rsidRPr="00B27B93">
        <w:rPr>
          <w:sz w:val="20"/>
          <w:szCs w:val="20"/>
        </w:rPr>
        <w:lastRenderedPageBreak/>
        <w:t>Other issues and guidance e.g. Principal and Agent relationship, Customer Loyalty</w:t>
      </w:r>
    </w:p>
    <w:p w:rsidR="00B27B93" w:rsidRPr="00B27B93" w:rsidRDefault="00B27B93" w:rsidP="00B27B93">
      <w:pPr>
        <w:pStyle w:val="ListParagraph"/>
        <w:numPr>
          <w:ilvl w:val="0"/>
          <w:numId w:val="8"/>
        </w:numPr>
        <w:spacing w:after="0" w:line="240" w:lineRule="auto"/>
        <w:jc w:val="both"/>
        <w:rPr>
          <w:sz w:val="20"/>
          <w:szCs w:val="20"/>
        </w:rPr>
      </w:pPr>
      <w:proofErr w:type="spellStart"/>
      <w:r w:rsidRPr="00B27B93">
        <w:rPr>
          <w:sz w:val="20"/>
          <w:szCs w:val="20"/>
        </w:rPr>
        <w:t>Programmes</w:t>
      </w:r>
      <w:proofErr w:type="spellEnd"/>
    </w:p>
    <w:p w:rsidR="00B27B93" w:rsidRDefault="00B27B93" w:rsidP="00B27B93">
      <w:pPr>
        <w:spacing w:after="0" w:line="240" w:lineRule="auto"/>
        <w:jc w:val="both"/>
        <w:rPr>
          <w:rFonts w:cs="Arial"/>
          <w:b/>
          <w:sz w:val="20"/>
          <w:lang w:val="en-MY"/>
        </w:rPr>
      </w:pPr>
      <w:r w:rsidRPr="00B27B93">
        <w:rPr>
          <w:rFonts w:cs="Arial"/>
          <w:b/>
          <w:sz w:val="20"/>
          <w:lang w:val="en-MY"/>
        </w:rPr>
        <w:t xml:space="preserve">MFRS 116 </w:t>
      </w:r>
      <w:proofErr w:type="gramStart"/>
      <w:r w:rsidRPr="00B27B93">
        <w:rPr>
          <w:rFonts w:cs="Arial"/>
          <w:b/>
          <w:sz w:val="20"/>
          <w:lang w:val="en-MY"/>
        </w:rPr>
        <w:t>Property ,</w:t>
      </w:r>
      <w:proofErr w:type="gramEnd"/>
      <w:r w:rsidRPr="00B27B93">
        <w:rPr>
          <w:rFonts w:cs="Arial"/>
          <w:b/>
          <w:sz w:val="20"/>
          <w:lang w:val="en-MY"/>
        </w:rPr>
        <w:t xml:space="preserve"> plant , equipment (PPE)</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Measurement of recognition</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self-constructed PPE</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De-commissioning , Dismantling and restoration costs</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subsequent costs on PPE</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Measurement after recognition –cost model or revaluation model</w:t>
      </w:r>
    </w:p>
    <w:p w:rsidR="00B27B93" w:rsidRP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treatment of surpluses, deficits and reversal</w:t>
      </w:r>
    </w:p>
    <w:p w:rsidR="00B27B93" w:rsidRDefault="00B27B93" w:rsidP="00B27B93">
      <w:pPr>
        <w:pStyle w:val="ListParagraph"/>
        <w:numPr>
          <w:ilvl w:val="0"/>
          <w:numId w:val="9"/>
        </w:numPr>
        <w:spacing w:after="0" w:line="240" w:lineRule="auto"/>
        <w:jc w:val="both"/>
        <w:rPr>
          <w:rFonts w:cs="Arial"/>
          <w:sz w:val="20"/>
          <w:lang w:val="en-MY"/>
        </w:rPr>
      </w:pPr>
      <w:r w:rsidRPr="00B27B93">
        <w:rPr>
          <w:rFonts w:cs="Arial"/>
          <w:sz w:val="20"/>
          <w:lang w:val="en-MY"/>
        </w:rPr>
        <w:t>Issue of depreciation, residual value and fair value</w:t>
      </w:r>
    </w:p>
    <w:p w:rsidR="00B27B93" w:rsidRDefault="00B27B93" w:rsidP="00B27B93">
      <w:pPr>
        <w:spacing w:after="0" w:line="240" w:lineRule="auto"/>
        <w:jc w:val="both"/>
        <w:rPr>
          <w:rFonts w:cs="Arial"/>
          <w:b/>
          <w:sz w:val="20"/>
          <w:lang w:val="en-MY"/>
        </w:rPr>
      </w:pPr>
      <w:r w:rsidRPr="00B27B93">
        <w:rPr>
          <w:rFonts w:cs="Arial"/>
          <w:b/>
          <w:sz w:val="20"/>
          <w:lang w:val="en-MY"/>
        </w:rPr>
        <w:t>MFRS 136 Impairment of asset</w:t>
      </w:r>
    </w:p>
    <w:p w:rsidR="00B27B93" w:rsidRPr="00B27B93" w:rsidRDefault="00B27B93" w:rsidP="00B27B93">
      <w:pPr>
        <w:pStyle w:val="ListParagraph"/>
        <w:numPr>
          <w:ilvl w:val="0"/>
          <w:numId w:val="10"/>
        </w:numPr>
        <w:spacing w:after="0" w:line="240" w:lineRule="auto"/>
        <w:jc w:val="both"/>
        <w:rPr>
          <w:rFonts w:cs="Arial"/>
          <w:sz w:val="20"/>
          <w:lang w:val="en-MY"/>
        </w:rPr>
      </w:pPr>
      <w:r w:rsidRPr="00B27B93">
        <w:rPr>
          <w:rFonts w:cs="Arial"/>
          <w:sz w:val="20"/>
          <w:lang w:val="en-MY"/>
        </w:rPr>
        <w:t>understanding the concept of impairment</w:t>
      </w:r>
    </w:p>
    <w:p w:rsidR="00B27B93" w:rsidRPr="00B27B93" w:rsidRDefault="00B27B93" w:rsidP="00B27B93">
      <w:pPr>
        <w:pStyle w:val="ListParagraph"/>
        <w:numPr>
          <w:ilvl w:val="0"/>
          <w:numId w:val="10"/>
        </w:numPr>
        <w:spacing w:after="0" w:line="240" w:lineRule="auto"/>
        <w:jc w:val="both"/>
        <w:rPr>
          <w:rFonts w:cs="Arial"/>
          <w:sz w:val="20"/>
          <w:lang w:val="en-MY"/>
        </w:rPr>
      </w:pPr>
      <w:r w:rsidRPr="00B27B93">
        <w:rPr>
          <w:rFonts w:cs="Arial"/>
          <w:sz w:val="20"/>
          <w:lang w:val="en-MY"/>
        </w:rPr>
        <w:t>Assessing indications of impairment in practice</w:t>
      </w:r>
    </w:p>
    <w:p w:rsidR="00B27B93" w:rsidRPr="00B27B93" w:rsidRDefault="00B27B93" w:rsidP="00B27B93">
      <w:pPr>
        <w:pStyle w:val="ListParagraph"/>
        <w:numPr>
          <w:ilvl w:val="0"/>
          <w:numId w:val="10"/>
        </w:numPr>
        <w:spacing w:after="0" w:line="240" w:lineRule="auto"/>
        <w:jc w:val="both"/>
        <w:rPr>
          <w:rFonts w:cs="Arial"/>
          <w:sz w:val="20"/>
          <w:lang w:val="en-MY"/>
        </w:rPr>
      </w:pPr>
      <w:r w:rsidRPr="00B27B93">
        <w:rPr>
          <w:rFonts w:cs="Arial"/>
          <w:sz w:val="20"/>
          <w:lang w:val="en-MY"/>
        </w:rPr>
        <w:t>Accounting for depreciation , deferred tax after impairment of assets</w:t>
      </w:r>
    </w:p>
    <w:p w:rsidR="00B27B93" w:rsidRPr="00B27B93" w:rsidRDefault="00B27B93" w:rsidP="00B27B93">
      <w:pPr>
        <w:pStyle w:val="ListParagraph"/>
        <w:numPr>
          <w:ilvl w:val="0"/>
          <w:numId w:val="10"/>
        </w:numPr>
        <w:spacing w:after="0" w:line="240" w:lineRule="auto"/>
        <w:jc w:val="both"/>
        <w:rPr>
          <w:rFonts w:cs="Arial"/>
          <w:sz w:val="20"/>
          <w:lang w:val="en-MY"/>
        </w:rPr>
      </w:pPr>
      <w:r w:rsidRPr="00B27B93">
        <w:rPr>
          <w:rFonts w:cs="Arial"/>
          <w:sz w:val="20"/>
          <w:lang w:val="en-MY"/>
        </w:rPr>
        <w:t>Impairment with revaluation and estimate useful life</w:t>
      </w:r>
    </w:p>
    <w:p w:rsidR="00B27B93" w:rsidRPr="00B27B93" w:rsidRDefault="00B27B93" w:rsidP="00B27B93">
      <w:pPr>
        <w:pStyle w:val="ListParagraph"/>
        <w:numPr>
          <w:ilvl w:val="0"/>
          <w:numId w:val="10"/>
        </w:numPr>
        <w:spacing w:after="0" w:line="240" w:lineRule="auto"/>
        <w:jc w:val="both"/>
        <w:rPr>
          <w:rFonts w:cs="Arial"/>
          <w:sz w:val="20"/>
          <w:lang w:val="en-MY"/>
        </w:rPr>
      </w:pPr>
      <w:r w:rsidRPr="00B27B93">
        <w:rPr>
          <w:rFonts w:cs="Arial"/>
          <w:sz w:val="20"/>
          <w:lang w:val="en-MY"/>
        </w:rPr>
        <w:t>Accounting for reversal of impairment loss</w:t>
      </w:r>
    </w:p>
    <w:p w:rsidR="00FE2F55" w:rsidRPr="00B27B93" w:rsidRDefault="00FE2F55" w:rsidP="00B27B93">
      <w:pPr>
        <w:pStyle w:val="ListParagraph"/>
        <w:numPr>
          <w:ilvl w:val="0"/>
          <w:numId w:val="10"/>
        </w:numPr>
        <w:jc w:val="both"/>
        <w:rPr>
          <w:sz w:val="20"/>
          <w:szCs w:val="20"/>
        </w:rPr>
      </w:pPr>
      <w:r w:rsidRPr="00B27B93">
        <w:rPr>
          <w:sz w:val="20"/>
          <w:szCs w:val="20"/>
        </w:rPr>
        <w:t>cash vs. profit</w:t>
      </w:r>
    </w:p>
    <w:p w:rsidR="00FE2F55" w:rsidRDefault="00EE0958" w:rsidP="00557991">
      <w:pPr>
        <w:spacing w:after="0" w:line="240" w:lineRule="auto"/>
        <w:jc w:val="both"/>
        <w:rPr>
          <w:sz w:val="20"/>
          <w:szCs w:val="20"/>
        </w:rPr>
      </w:pPr>
      <w:r>
        <w:rPr>
          <w:noProof/>
          <w:sz w:val="20"/>
          <w:szCs w:val="20"/>
        </w:rPr>
        <w:pict>
          <v:roundrect id="_x0000_s1038" style="position:absolute;left:0;text-align:left;margin-left:-7pt;margin-top:-.15pt;width:150.55pt;height:23.4pt;z-index:-251646976" arcsize="10923f">
            <v:shadow on="t" offset="3pt" offset2="2pt"/>
            <v:textbox>
              <w:txbxContent>
                <w:p w:rsidR="00FE2F55" w:rsidRPr="001034F5" w:rsidRDefault="00FE2F55" w:rsidP="00FE2F55">
                  <w:pPr>
                    <w:rPr>
                      <w:sz w:val="20"/>
                    </w:rPr>
                  </w:pPr>
                  <w:r>
                    <w:rPr>
                      <w:sz w:val="20"/>
                    </w:rPr>
                    <w:t>TARGET AUDIENCE</w:t>
                  </w:r>
                </w:p>
              </w:txbxContent>
            </v:textbox>
          </v:roundrect>
        </w:pict>
      </w:r>
    </w:p>
    <w:p w:rsidR="000230E8" w:rsidRDefault="000230E8" w:rsidP="00557991">
      <w:pPr>
        <w:spacing w:after="0" w:line="240" w:lineRule="auto"/>
        <w:jc w:val="both"/>
        <w:rPr>
          <w:sz w:val="20"/>
          <w:szCs w:val="20"/>
        </w:rPr>
      </w:pPr>
    </w:p>
    <w:p w:rsidR="00557991" w:rsidRDefault="00557991" w:rsidP="00557991">
      <w:pPr>
        <w:spacing w:after="0" w:line="240" w:lineRule="auto"/>
        <w:jc w:val="both"/>
        <w:rPr>
          <w:noProof/>
          <w:sz w:val="20"/>
          <w:szCs w:val="20"/>
        </w:rPr>
      </w:pPr>
      <w:r w:rsidRPr="00557991">
        <w:rPr>
          <w:noProof/>
          <w:sz w:val="20"/>
          <w:szCs w:val="20"/>
        </w:rPr>
        <w:t>Finance managers and executives, Accountants, Company Secretaries, tax agents, investment analysts,</w:t>
      </w:r>
      <w:r>
        <w:rPr>
          <w:noProof/>
          <w:sz w:val="20"/>
          <w:szCs w:val="20"/>
        </w:rPr>
        <w:t xml:space="preserve"> </w:t>
      </w:r>
      <w:r w:rsidRPr="00557991">
        <w:rPr>
          <w:noProof/>
          <w:sz w:val="20"/>
          <w:szCs w:val="20"/>
        </w:rPr>
        <w:t>and anyone involved in preparing,</w:t>
      </w:r>
      <w:r>
        <w:rPr>
          <w:noProof/>
          <w:sz w:val="20"/>
          <w:szCs w:val="20"/>
        </w:rPr>
        <w:t xml:space="preserve"> </w:t>
      </w:r>
      <w:r w:rsidRPr="00557991">
        <w:rPr>
          <w:noProof/>
          <w:sz w:val="20"/>
          <w:szCs w:val="20"/>
        </w:rPr>
        <w:t xml:space="preserve">reporting and reviewing financial statements in their </w:t>
      </w:r>
    </w:p>
    <w:p w:rsidR="00102AC5" w:rsidRDefault="00EE0958" w:rsidP="00557991">
      <w:pPr>
        <w:spacing w:after="0" w:line="240" w:lineRule="auto"/>
        <w:jc w:val="both"/>
        <w:rPr>
          <w:sz w:val="20"/>
          <w:szCs w:val="20"/>
        </w:rPr>
      </w:pPr>
      <w:r>
        <w:rPr>
          <w:noProof/>
          <w:sz w:val="20"/>
          <w:szCs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type="#_x0000_t176" style="position:absolute;left:0;text-align:left;margin-left:164.55pt;margin-top:7.55pt;width:1in;height:45.35pt;z-index:251680768" fillcolor="black" strokecolor="#f2f2f2" strokeweight="3pt">
            <v:shadow on="t" type="perspective" color="#7f7f7f" opacity=".5" offset="1pt" offset2="-1pt"/>
            <v:textbox style="mso-next-textbox:#_x0000_s1051">
              <w:txbxContent>
                <w:p w:rsidR="00833E8D" w:rsidRPr="00B37990" w:rsidRDefault="00833E8D" w:rsidP="00833E8D">
                  <w:pPr>
                    <w:jc w:val="center"/>
                    <w:rPr>
                      <w:rFonts w:ascii="Century Gothic" w:hAnsi="Century Gothic"/>
                      <w:b/>
                      <w:color w:val="FFFFFF"/>
                    </w:rPr>
                  </w:pPr>
                  <w:r>
                    <w:rPr>
                      <w:rFonts w:ascii="Century Gothic" w:hAnsi="Century Gothic"/>
                      <w:b/>
                      <w:color w:val="FFFFFF"/>
                    </w:rPr>
                    <w:t>8</w:t>
                  </w:r>
                  <w:r w:rsidRPr="00B37990">
                    <w:rPr>
                      <w:rFonts w:ascii="Century Gothic" w:hAnsi="Century Gothic"/>
                      <w:b/>
                      <w:color w:val="FFFFFF"/>
                    </w:rPr>
                    <w:t xml:space="preserve"> CEP POINTS</w:t>
                  </w:r>
                </w:p>
              </w:txbxContent>
            </v:textbox>
          </v:shape>
        </w:pict>
      </w:r>
      <w:r w:rsidR="00557991" w:rsidRPr="00557991">
        <w:rPr>
          <w:noProof/>
          <w:sz w:val="20"/>
          <w:szCs w:val="20"/>
        </w:rPr>
        <w:t>companies.</w:t>
      </w:r>
    </w:p>
    <w:p w:rsidR="00EA763B" w:rsidRDefault="00EA763B" w:rsidP="00557991">
      <w:pPr>
        <w:spacing w:after="0" w:line="240" w:lineRule="auto"/>
        <w:jc w:val="both"/>
        <w:rPr>
          <w:sz w:val="20"/>
          <w:szCs w:val="20"/>
        </w:rPr>
      </w:pPr>
    </w:p>
    <w:p w:rsidR="00EA763B" w:rsidRDefault="00EE0958" w:rsidP="00EA763B">
      <w:pPr>
        <w:spacing w:after="0" w:line="240" w:lineRule="auto"/>
        <w:jc w:val="both"/>
        <w:rPr>
          <w:sz w:val="20"/>
          <w:szCs w:val="20"/>
        </w:rPr>
      </w:pPr>
      <w:r>
        <w:rPr>
          <w:noProof/>
          <w:sz w:val="20"/>
          <w:szCs w:val="20"/>
        </w:rPr>
        <w:pict>
          <v:roundrect id="_x0000_s1039" style="position:absolute;left:0;text-align:left;margin-left:-7pt;margin-top:7.35pt;width:150.55pt;height:23.4pt;z-index:-251645952" arcsize="10923f">
            <v:shadow on="t" offset="3pt" offset2="2pt"/>
            <v:textbox style="mso-next-textbox:#_x0000_s1039">
              <w:txbxContent>
                <w:p w:rsidR="00102AC5" w:rsidRPr="001034F5" w:rsidRDefault="00102AC5" w:rsidP="00102AC5">
                  <w:pPr>
                    <w:rPr>
                      <w:sz w:val="20"/>
                    </w:rPr>
                  </w:pPr>
                  <w:r>
                    <w:rPr>
                      <w:sz w:val="20"/>
                    </w:rPr>
                    <w:t>ADMINISTRATIVE DETAILS</w:t>
                  </w:r>
                </w:p>
              </w:txbxContent>
            </v:textbox>
          </v:roundrect>
        </w:pict>
      </w:r>
    </w:p>
    <w:p w:rsidR="00557991" w:rsidRDefault="00557991" w:rsidP="00EA763B">
      <w:pPr>
        <w:spacing w:after="0" w:line="240" w:lineRule="auto"/>
        <w:jc w:val="both"/>
        <w:rPr>
          <w:sz w:val="20"/>
          <w:szCs w:val="20"/>
        </w:rPr>
      </w:pPr>
    </w:p>
    <w:p w:rsidR="00833E8D" w:rsidRDefault="00833E8D" w:rsidP="00EA763B">
      <w:pPr>
        <w:spacing w:after="0" w:line="240" w:lineRule="auto"/>
        <w:jc w:val="both"/>
        <w:rPr>
          <w:sz w:val="20"/>
          <w:szCs w:val="20"/>
        </w:rPr>
      </w:pPr>
    </w:p>
    <w:tbl>
      <w:tblPr>
        <w:tblStyle w:val="TableGrid"/>
        <w:tblW w:w="4786" w:type="dxa"/>
        <w:tblInd w:w="113" w:type="dxa"/>
        <w:tblLook w:val="04A0"/>
      </w:tblPr>
      <w:tblGrid>
        <w:gridCol w:w="1512"/>
        <w:gridCol w:w="297"/>
        <w:gridCol w:w="2977"/>
      </w:tblGrid>
      <w:tr w:rsidR="008D444E" w:rsidTr="00ED48FD">
        <w:trPr>
          <w:trHeight w:val="340"/>
        </w:trPr>
        <w:tc>
          <w:tcPr>
            <w:tcW w:w="1512" w:type="dxa"/>
            <w:vAlign w:val="center"/>
          </w:tcPr>
          <w:p w:rsidR="008D444E" w:rsidRDefault="008D444E" w:rsidP="00D40625">
            <w:pPr>
              <w:rPr>
                <w:sz w:val="20"/>
                <w:szCs w:val="20"/>
              </w:rPr>
            </w:pPr>
            <w:r>
              <w:rPr>
                <w:sz w:val="20"/>
                <w:szCs w:val="20"/>
              </w:rPr>
              <w:t>DATE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056F1E" w:rsidP="00056F1E">
            <w:pPr>
              <w:rPr>
                <w:sz w:val="20"/>
                <w:szCs w:val="20"/>
              </w:rPr>
            </w:pPr>
            <w:r>
              <w:rPr>
                <w:sz w:val="20"/>
                <w:szCs w:val="20"/>
              </w:rPr>
              <w:t>23 Sep</w:t>
            </w:r>
            <w:r w:rsidR="00B259CD">
              <w:rPr>
                <w:sz w:val="20"/>
                <w:szCs w:val="20"/>
              </w:rPr>
              <w:t xml:space="preserve"> / 0</w:t>
            </w:r>
            <w:r>
              <w:rPr>
                <w:sz w:val="20"/>
                <w:szCs w:val="20"/>
              </w:rPr>
              <w:t>9</w:t>
            </w:r>
            <w:r w:rsidR="00B259CD">
              <w:rPr>
                <w:sz w:val="20"/>
                <w:szCs w:val="20"/>
              </w:rPr>
              <w:t xml:space="preserve"> </w:t>
            </w:r>
            <w:r>
              <w:rPr>
                <w:sz w:val="20"/>
                <w:szCs w:val="20"/>
              </w:rPr>
              <w:t>Dec</w:t>
            </w:r>
            <w:r w:rsidR="00B259CD">
              <w:rPr>
                <w:sz w:val="20"/>
                <w:szCs w:val="20"/>
              </w:rPr>
              <w:t xml:space="preserve"> 2016</w:t>
            </w:r>
          </w:p>
        </w:tc>
      </w:tr>
      <w:tr w:rsidR="008D444E" w:rsidTr="00ED48FD">
        <w:trPr>
          <w:trHeight w:val="340"/>
        </w:trPr>
        <w:tc>
          <w:tcPr>
            <w:tcW w:w="1512" w:type="dxa"/>
            <w:vAlign w:val="center"/>
          </w:tcPr>
          <w:p w:rsidR="008D444E" w:rsidRDefault="008D444E" w:rsidP="00D40625">
            <w:pPr>
              <w:rPr>
                <w:sz w:val="20"/>
                <w:szCs w:val="20"/>
              </w:rPr>
            </w:pPr>
            <w:r>
              <w:rPr>
                <w:sz w:val="20"/>
                <w:szCs w:val="20"/>
              </w:rPr>
              <w:t>DURATION</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056F1E" w:rsidP="00056F1E">
            <w:pPr>
              <w:rPr>
                <w:sz w:val="20"/>
                <w:szCs w:val="20"/>
              </w:rPr>
            </w:pPr>
            <w:r>
              <w:rPr>
                <w:sz w:val="20"/>
                <w:szCs w:val="20"/>
              </w:rPr>
              <w:t>01 Day</w:t>
            </w:r>
            <w:r w:rsidR="008D444E">
              <w:rPr>
                <w:sz w:val="20"/>
                <w:szCs w:val="20"/>
              </w:rPr>
              <w:t xml:space="preserve"> (0900-1700)</w:t>
            </w:r>
          </w:p>
        </w:tc>
      </w:tr>
      <w:tr w:rsidR="008D444E" w:rsidTr="00ED48FD">
        <w:trPr>
          <w:trHeight w:val="340"/>
        </w:trPr>
        <w:tc>
          <w:tcPr>
            <w:tcW w:w="1512" w:type="dxa"/>
            <w:vAlign w:val="center"/>
          </w:tcPr>
          <w:p w:rsidR="008D444E" w:rsidRDefault="008D444E" w:rsidP="00D40625">
            <w:pPr>
              <w:rPr>
                <w:sz w:val="20"/>
                <w:szCs w:val="20"/>
              </w:rPr>
            </w:pPr>
            <w:r>
              <w:rPr>
                <w:sz w:val="20"/>
                <w:szCs w:val="20"/>
              </w:rPr>
              <w:t>VENUE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056F1E" w:rsidP="00D40625">
            <w:pPr>
              <w:rPr>
                <w:sz w:val="20"/>
                <w:szCs w:val="20"/>
              </w:rPr>
            </w:pPr>
            <w:proofErr w:type="spellStart"/>
            <w:r>
              <w:rPr>
                <w:sz w:val="20"/>
                <w:szCs w:val="20"/>
              </w:rPr>
              <w:t>Petaling</w:t>
            </w:r>
            <w:proofErr w:type="spellEnd"/>
            <w:r>
              <w:rPr>
                <w:sz w:val="20"/>
                <w:szCs w:val="20"/>
              </w:rPr>
              <w:t xml:space="preserve"> Jaya / Kuala Lumpur</w:t>
            </w:r>
          </w:p>
        </w:tc>
      </w:tr>
      <w:tr w:rsidR="008D444E" w:rsidTr="00ED48FD">
        <w:trPr>
          <w:trHeight w:val="340"/>
        </w:trPr>
        <w:tc>
          <w:tcPr>
            <w:tcW w:w="1512" w:type="dxa"/>
            <w:vAlign w:val="center"/>
          </w:tcPr>
          <w:p w:rsidR="008D444E" w:rsidRDefault="008D444E" w:rsidP="00D40625">
            <w:pPr>
              <w:rPr>
                <w:sz w:val="20"/>
                <w:szCs w:val="20"/>
              </w:rPr>
            </w:pPr>
            <w:r>
              <w:rPr>
                <w:sz w:val="20"/>
                <w:szCs w:val="20"/>
              </w:rPr>
              <w:t>FEE</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Default="008D444E" w:rsidP="00D40625">
            <w:pPr>
              <w:rPr>
                <w:sz w:val="20"/>
                <w:szCs w:val="20"/>
              </w:rPr>
            </w:pPr>
            <w:r w:rsidRPr="008D444E">
              <w:rPr>
                <w:sz w:val="20"/>
                <w:szCs w:val="20"/>
              </w:rPr>
              <w:t>RM1,484.00 per person (Fee is inclusive of 6% GST)</w:t>
            </w:r>
          </w:p>
        </w:tc>
      </w:tr>
      <w:tr w:rsidR="008D444E" w:rsidTr="00ED48FD">
        <w:trPr>
          <w:trHeight w:val="340"/>
        </w:trPr>
        <w:tc>
          <w:tcPr>
            <w:tcW w:w="1512" w:type="dxa"/>
            <w:vAlign w:val="center"/>
          </w:tcPr>
          <w:p w:rsidR="008D444E" w:rsidRDefault="008D444E" w:rsidP="00D40625">
            <w:pPr>
              <w:rPr>
                <w:sz w:val="20"/>
                <w:szCs w:val="20"/>
              </w:rPr>
            </w:pPr>
            <w:r>
              <w:rPr>
                <w:sz w:val="20"/>
                <w:szCs w:val="20"/>
              </w:rPr>
              <w:t>PAYMENT</w:t>
            </w:r>
          </w:p>
        </w:tc>
        <w:tc>
          <w:tcPr>
            <w:tcW w:w="297" w:type="dxa"/>
            <w:vAlign w:val="center"/>
          </w:tcPr>
          <w:p w:rsidR="008D444E" w:rsidRDefault="008D444E" w:rsidP="00D40625">
            <w:pPr>
              <w:rPr>
                <w:sz w:val="20"/>
                <w:szCs w:val="20"/>
              </w:rPr>
            </w:pPr>
            <w:r>
              <w:rPr>
                <w:sz w:val="20"/>
                <w:szCs w:val="20"/>
              </w:rPr>
              <w:t>:</w:t>
            </w:r>
          </w:p>
        </w:tc>
        <w:tc>
          <w:tcPr>
            <w:tcW w:w="2977" w:type="dxa"/>
            <w:vAlign w:val="center"/>
          </w:tcPr>
          <w:p w:rsidR="008D444E" w:rsidRPr="008D444E" w:rsidRDefault="008D444E" w:rsidP="00D40625">
            <w:pPr>
              <w:rPr>
                <w:sz w:val="20"/>
                <w:szCs w:val="20"/>
              </w:rPr>
            </w:pPr>
            <w:proofErr w:type="spellStart"/>
            <w:r w:rsidRPr="008D444E">
              <w:rPr>
                <w:sz w:val="20"/>
                <w:szCs w:val="20"/>
              </w:rPr>
              <w:t>Cheque</w:t>
            </w:r>
            <w:proofErr w:type="spellEnd"/>
            <w:r w:rsidRPr="008D444E">
              <w:rPr>
                <w:sz w:val="20"/>
                <w:szCs w:val="20"/>
              </w:rPr>
              <w:t xml:space="preserve"> is to be made payable to BURSATRA SDN. BHD.</w:t>
            </w:r>
          </w:p>
        </w:tc>
      </w:tr>
    </w:tbl>
    <w:p w:rsidR="00102AC5" w:rsidRDefault="00EE0958" w:rsidP="00374D0B">
      <w:pPr>
        <w:jc w:val="both"/>
        <w:rPr>
          <w:sz w:val="20"/>
          <w:szCs w:val="20"/>
        </w:rPr>
      </w:pPr>
      <w:r>
        <w:rPr>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6" type="#_x0000_t185" style="position:absolute;left:0;text-align:left;margin-left:0;margin-top:10.55pt;width:243pt;height:75.05pt;z-index:-251638784;mso-position-horizontal-relative:text;mso-position-vertical-relative:text" filled="t" fillcolor="#ffb9b9">
            <v:fill opacity="29491f"/>
            <v:textbox>
              <w:txbxContent>
                <w:p w:rsidR="00EA763B" w:rsidRPr="00EA763B" w:rsidRDefault="00EA763B" w:rsidP="009D7515">
                  <w:pPr>
                    <w:spacing w:after="0" w:line="240" w:lineRule="auto"/>
                    <w:jc w:val="both"/>
                    <w:rPr>
                      <w:i/>
                      <w:sz w:val="20"/>
                      <w:szCs w:val="20"/>
                    </w:rPr>
                  </w:pPr>
                  <w:r w:rsidRPr="00EA763B">
                    <w:rPr>
                      <w:i/>
                      <w:sz w:val="20"/>
                      <w:szCs w:val="20"/>
                    </w:rPr>
                    <w:t>Postponement / Cancellation within seven (07) working days prior to the event are subject to a cancellation / postponement fee of 20%. Full amount of the registration fee(s) is chargeable for non-attendance of the participant(s).</w:t>
                  </w:r>
                </w:p>
                <w:p w:rsidR="00EA763B" w:rsidRPr="00EA763B" w:rsidRDefault="00EA763B" w:rsidP="00EA763B">
                  <w:pPr>
                    <w:rPr>
                      <w:sz w:val="20"/>
                      <w:szCs w:val="20"/>
                    </w:rPr>
                  </w:pPr>
                </w:p>
              </w:txbxContent>
            </v:textbox>
          </v:shape>
        </w:pict>
      </w:r>
    </w:p>
    <w:p w:rsidR="008D444E" w:rsidRDefault="008D444E" w:rsidP="00374D0B">
      <w:pPr>
        <w:jc w:val="both"/>
        <w:rPr>
          <w:sz w:val="20"/>
          <w:szCs w:val="20"/>
        </w:rPr>
      </w:pPr>
    </w:p>
    <w:p w:rsidR="008D444E" w:rsidRDefault="008D444E" w:rsidP="00374D0B">
      <w:pPr>
        <w:jc w:val="both"/>
        <w:rPr>
          <w:sz w:val="20"/>
          <w:szCs w:val="20"/>
        </w:rPr>
      </w:pPr>
    </w:p>
    <w:p w:rsidR="008D444E" w:rsidRDefault="008D444E" w:rsidP="00374D0B">
      <w:pPr>
        <w:jc w:val="both"/>
        <w:rPr>
          <w:sz w:val="20"/>
          <w:szCs w:val="20"/>
        </w:rPr>
      </w:pPr>
    </w:p>
    <w:p w:rsidR="00EA763B" w:rsidRDefault="00EA763B" w:rsidP="00374D0B">
      <w:pPr>
        <w:jc w:val="both"/>
        <w:rPr>
          <w:sz w:val="20"/>
          <w:szCs w:val="20"/>
        </w:rPr>
      </w:pPr>
    </w:p>
    <w:p w:rsidR="000230E8" w:rsidRDefault="000230E8" w:rsidP="000230E8">
      <w:pPr>
        <w:jc w:val="both"/>
        <w:rPr>
          <w:sz w:val="20"/>
          <w:szCs w:val="20"/>
        </w:rPr>
        <w:sectPr w:rsidR="000230E8" w:rsidSect="008D444E">
          <w:type w:val="continuous"/>
          <w:pgSz w:w="12240" w:h="15840"/>
          <w:pgMar w:top="1440" w:right="1440" w:bottom="1440" w:left="1440" w:header="720" w:footer="720" w:gutter="0"/>
          <w:cols w:num="2" w:sep="1" w:space="720"/>
          <w:titlePg/>
          <w:docGrid w:linePitch="360"/>
        </w:sectPr>
      </w:pPr>
    </w:p>
    <w:p w:rsidR="000230E8" w:rsidRDefault="00EE0958" w:rsidP="000230E8">
      <w:pPr>
        <w:jc w:val="both"/>
        <w:rPr>
          <w:sz w:val="20"/>
          <w:szCs w:val="20"/>
        </w:rPr>
      </w:pPr>
      <w:r>
        <w:rPr>
          <w:noProof/>
          <w:sz w:val="20"/>
          <w:szCs w:val="20"/>
        </w:rPr>
        <w:lastRenderedPageBreak/>
        <w:pict>
          <v:roundrect id="_x0000_s1040" style="position:absolute;left:0;text-align:left;margin-left:-13.35pt;margin-top:-5.45pt;width:150.55pt;height:23.4pt;z-index:-251644928" arcsize="10923f">
            <v:shadow on="t" offset="3pt" offset2="2pt"/>
            <v:textbox>
              <w:txbxContent>
                <w:p w:rsidR="000230E8" w:rsidRPr="001034F5" w:rsidRDefault="000230E8" w:rsidP="000230E8">
                  <w:pPr>
                    <w:rPr>
                      <w:sz w:val="20"/>
                    </w:rPr>
                  </w:pPr>
                  <w:r>
                    <w:rPr>
                      <w:sz w:val="20"/>
                    </w:rPr>
                    <w:t>SPEAKER PROFILE</w:t>
                  </w:r>
                </w:p>
              </w:txbxContent>
            </v:textbox>
          </v:roundrect>
        </w:pict>
      </w:r>
    </w:p>
    <w:p w:rsidR="000230E8" w:rsidRPr="000230E8" w:rsidRDefault="000230E8" w:rsidP="000230E8">
      <w:pPr>
        <w:jc w:val="both"/>
        <w:rPr>
          <w:b/>
          <w:sz w:val="20"/>
          <w:szCs w:val="20"/>
        </w:rPr>
      </w:pPr>
      <w:r w:rsidRPr="000230E8">
        <w:rPr>
          <w:b/>
          <w:sz w:val="20"/>
          <w:szCs w:val="20"/>
        </w:rPr>
        <w:t>MR. TAM FOOK CHEONG</w:t>
      </w:r>
    </w:p>
    <w:p w:rsidR="000230E8" w:rsidRPr="000230E8" w:rsidRDefault="000230E8" w:rsidP="000230E8">
      <w:pPr>
        <w:jc w:val="both"/>
        <w:rPr>
          <w:sz w:val="20"/>
          <w:szCs w:val="20"/>
        </w:rPr>
      </w:pPr>
      <w:r w:rsidRPr="000230E8">
        <w:rPr>
          <w:sz w:val="20"/>
          <w:szCs w:val="20"/>
        </w:rPr>
        <w:t>Mr. Tam is a fellow member of the Chartered Association of Certified Accountants, UK and Associate member of the Chartered Institute of Management Accountants, UK. He is also a member of Malaysia Institute of Accountants and also obtained a certificate IV in Assessment and Workplace Training awarded by TAFE SA from Australia and a certified trainer in PSMB.</w:t>
      </w:r>
    </w:p>
    <w:p w:rsidR="000A4984" w:rsidRDefault="000230E8" w:rsidP="000230E8">
      <w:pPr>
        <w:jc w:val="both"/>
        <w:rPr>
          <w:sz w:val="20"/>
          <w:szCs w:val="20"/>
        </w:rPr>
      </w:pPr>
      <w:r w:rsidRPr="000230E8">
        <w:rPr>
          <w:sz w:val="20"/>
          <w:szCs w:val="20"/>
        </w:rPr>
        <w:t xml:space="preserve"> He started his career in 1975 as an auditor in a medium-sized audit firm and later joined National University of Malaysia as a Financial Accountant. In early 1980 he joined PETRONAS till end of 2008. He had undertaken various roles within PETRONAS Group of companies in the areas of strategic planning, corporate planning, financial reporting, project and property management as well as other finance- related matters.</w:t>
      </w:r>
    </w:p>
    <w:p w:rsidR="008D444E" w:rsidRDefault="000230E8" w:rsidP="000230E8">
      <w:pPr>
        <w:jc w:val="both"/>
        <w:rPr>
          <w:sz w:val="20"/>
          <w:szCs w:val="20"/>
        </w:rPr>
      </w:pPr>
      <w:r w:rsidRPr="000230E8">
        <w:rPr>
          <w:sz w:val="20"/>
          <w:szCs w:val="20"/>
        </w:rPr>
        <w:t xml:space="preserve">Currently, he serves as learning and training consultant for various training service providers and also facilitates workshop sessions for professional and accountancy bodies as well as a local </w:t>
      </w:r>
      <w:proofErr w:type="spellStart"/>
      <w:r w:rsidRPr="000230E8">
        <w:rPr>
          <w:sz w:val="20"/>
          <w:szCs w:val="20"/>
        </w:rPr>
        <w:t>counsellor</w:t>
      </w:r>
      <w:proofErr w:type="spellEnd"/>
      <w:r w:rsidRPr="000230E8">
        <w:rPr>
          <w:sz w:val="20"/>
          <w:szCs w:val="20"/>
        </w:rPr>
        <w:t xml:space="preserve"> in the finance module for the MBA program. He also serves as an independent non-executive director of two companies listed on Bursa Malaysia.</w:t>
      </w:r>
    </w:p>
    <w:p w:rsidR="008D444E" w:rsidRDefault="008D444E"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Default="001C3709" w:rsidP="00374D0B">
      <w:pPr>
        <w:jc w:val="both"/>
        <w:rPr>
          <w:sz w:val="20"/>
          <w:szCs w:val="20"/>
        </w:rPr>
      </w:pPr>
    </w:p>
    <w:p w:rsidR="001C3709" w:rsidRPr="004E6547" w:rsidRDefault="001C3709" w:rsidP="001C3709">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1C3709" w:rsidRDefault="00833E8D" w:rsidP="001C3709">
      <w:pPr>
        <w:spacing w:after="0" w:line="240" w:lineRule="auto"/>
        <w:jc w:val="center"/>
        <w:rPr>
          <w:sz w:val="24"/>
          <w:szCs w:val="24"/>
        </w:rPr>
      </w:pPr>
      <w:r w:rsidRPr="00833E8D">
        <w:rPr>
          <w:rFonts w:asciiTheme="majorHAnsi" w:eastAsiaTheme="majorEastAsia" w:hAnsiTheme="majorHAnsi" w:cstheme="majorBidi"/>
          <w:b/>
          <w:bCs/>
          <w:color w:val="365F91" w:themeColor="accent1" w:themeShade="BF"/>
          <w:sz w:val="36"/>
          <w:szCs w:val="36"/>
        </w:rPr>
        <w:t xml:space="preserve">Malaysian Financial Reporting </w:t>
      </w:r>
      <w:proofErr w:type="gramStart"/>
      <w:r w:rsidRPr="00833E8D">
        <w:rPr>
          <w:rFonts w:asciiTheme="majorHAnsi" w:eastAsiaTheme="majorEastAsia" w:hAnsiTheme="majorHAnsi" w:cstheme="majorBidi"/>
          <w:b/>
          <w:bCs/>
          <w:color w:val="365F91" w:themeColor="accent1" w:themeShade="BF"/>
          <w:sz w:val="36"/>
          <w:szCs w:val="36"/>
        </w:rPr>
        <w:t>Standards(</w:t>
      </w:r>
      <w:proofErr w:type="gramEnd"/>
      <w:r w:rsidRPr="00833E8D">
        <w:rPr>
          <w:rFonts w:asciiTheme="majorHAnsi" w:eastAsiaTheme="majorEastAsia" w:hAnsiTheme="majorHAnsi" w:cstheme="majorBidi"/>
          <w:b/>
          <w:bCs/>
          <w:color w:val="365F91" w:themeColor="accent1" w:themeShade="BF"/>
          <w:sz w:val="36"/>
          <w:szCs w:val="36"/>
        </w:rPr>
        <w:t>MFRS) Made Simple for Directors and Senior Management</w:t>
      </w:r>
      <w:r w:rsidR="001C3709">
        <w:rPr>
          <w:sz w:val="24"/>
          <w:szCs w:val="24"/>
        </w:rPr>
        <w:br/>
        <w:t>0900 – 1700 hours</w:t>
      </w:r>
    </w:p>
    <w:p w:rsidR="00056F1E" w:rsidRDefault="00056F1E" w:rsidP="001C3709">
      <w:pPr>
        <w:spacing w:after="0" w:line="240" w:lineRule="auto"/>
        <w:jc w:val="center"/>
        <w:rPr>
          <w:sz w:val="24"/>
          <w:szCs w:val="24"/>
        </w:rPr>
      </w:pPr>
      <w:proofErr w:type="spellStart"/>
      <w:r>
        <w:rPr>
          <w:sz w:val="24"/>
          <w:szCs w:val="24"/>
        </w:rPr>
        <w:t>Petaling</w:t>
      </w:r>
      <w:proofErr w:type="spellEnd"/>
      <w:r>
        <w:rPr>
          <w:sz w:val="24"/>
          <w:szCs w:val="24"/>
        </w:rPr>
        <w:t xml:space="preserve"> Jaya / Kuala Lumpur</w:t>
      </w:r>
    </w:p>
    <w:p w:rsidR="001C3709" w:rsidRDefault="001C3709" w:rsidP="001C3709"/>
    <w:p w:rsidR="001C3709" w:rsidRPr="004E6547" w:rsidRDefault="00EE0958" w:rsidP="001C3709">
      <w:pPr>
        <w:rPr>
          <w:sz w:val="24"/>
          <w:szCs w:val="24"/>
        </w:rPr>
      </w:pPr>
      <w:r w:rsidRPr="00EE0958">
        <w:rPr>
          <w:noProof/>
          <w:color w:val="548DD4" w:themeColor="text2" w:themeTint="99"/>
          <w:sz w:val="24"/>
          <w:szCs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41" type="#_x0000_t55" style="position:absolute;margin-left:-17.8pt;margin-top:-.45pt;width:11.05pt;height:16.85pt;z-index:251673600" strokecolor="#548dd4"/>
        </w:pict>
      </w:r>
      <w:r w:rsidR="0007636E">
        <w:rPr>
          <w:sz w:val="24"/>
          <w:szCs w:val="24"/>
        </w:rPr>
        <w:t>D</w:t>
      </w:r>
      <w:r w:rsidR="001C3709">
        <w:rPr>
          <w:sz w:val="24"/>
          <w:szCs w:val="24"/>
        </w:rPr>
        <w:t>ate:</w:t>
      </w:r>
    </w:p>
    <w:tbl>
      <w:tblPr>
        <w:tblW w:w="0" w:type="auto"/>
        <w:tblInd w:w="340" w:type="dxa"/>
        <w:tblLayout w:type="fixed"/>
        <w:tblLook w:val="04A0"/>
      </w:tblPr>
      <w:tblGrid>
        <w:gridCol w:w="250"/>
        <w:gridCol w:w="1858"/>
        <w:gridCol w:w="360"/>
        <w:gridCol w:w="2970"/>
        <w:gridCol w:w="270"/>
        <w:gridCol w:w="270"/>
        <w:gridCol w:w="270"/>
        <w:gridCol w:w="1089"/>
      </w:tblGrid>
      <w:tr w:rsidR="001C3709" w:rsidRPr="00E76169" w:rsidTr="00E72ADB">
        <w:tc>
          <w:tcPr>
            <w:tcW w:w="250" w:type="dxa"/>
          </w:tcPr>
          <w:p w:rsidR="001C3709" w:rsidRPr="00E76169" w:rsidRDefault="00EE0958" w:rsidP="007349B9">
            <w:pPr>
              <w:spacing w:after="0" w:line="240" w:lineRule="auto"/>
              <w:rPr>
                <w:sz w:val="24"/>
                <w:szCs w:val="24"/>
              </w:rPr>
            </w:pPr>
            <w:r>
              <w:rPr>
                <w:noProof/>
                <w:sz w:val="24"/>
                <w:szCs w:val="24"/>
              </w:rPr>
              <w:pict>
                <v:rect id="_x0000_s1044" style="position:absolute;margin-left:-5.25pt;margin-top:0;width:10.65pt;height:10.05pt;z-index:251676672;mso-position-vertical:bottom;mso-position-vertical-relative:margin">
                  <v:shadow on="t" offset=",3pt" offset2=",2pt"/>
                  <w10:wrap anchory="margin"/>
                </v:rect>
              </w:pict>
            </w:r>
          </w:p>
        </w:tc>
        <w:tc>
          <w:tcPr>
            <w:tcW w:w="1858" w:type="dxa"/>
          </w:tcPr>
          <w:p w:rsidR="001C3709" w:rsidRPr="00E76169" w:rsidRDefault="00056F1E" w:rsidP="00D5577B">
            <w:pPr>
              <w:spacing w:after="0" w:line="240" w:lineRule="auto"/>
              <w:rPr>
                <w:sz w:val="24"/>
                <w:szCs w:val="24"/>
              </w:rPr>
            </w:pPr>
            <w:r>
              <w:rPr>
                <w:sz w:val="24"/>
                <w:szCs w:val="24"/>
              </w:rPr>
              <w:t>23</w:t>
            </w:r>
            <w:r w:rsidRPr="00056F1E">
              <w:rPr>
                <w:sz w:val="24"/>
                <w:szCs w:val="24"/>
                <w:vertAlign w:val="superscript"/>
              </w:rPr>
              <w:t>rd</w:t>
            </w:r>
            <w:r>
              <w:rPr>
                <w:sz w:val="24"/>
                <w:szCs w:val="24"/>
              </w:rPr>
              <w:t xml:space="preserve"> September</w:t>
            </w:r>
          </w:p>
        </w:tc>
        <w:tc>
          <w:tcPr>
            <w:tcW w:w="360" w:type="dxa"/>
          </w:tcPr>
          <w:p w:rsidR="001C3709" w:rsidRPr="00E76169" w:rsidRDefault="00EE0958" w:rsidP="007349B9">
            <w:pPr>
              <w:spacing w:after="0" w:line="240" w:lineRule="auto"/>
              <w:rPr>
                <w:sz w:val="24"/>
                <w:szCs w:val="24"/>
              </w:rPr>
            </w:pPr>
            <w:r>
              <w:rPr>
                <w:noProof/>
                <w:sz w:val="24"/>
                <w:szCs w:val="24"/>
              </w:rPr>
              <w:pict>
                <v:rect id="_x0000_s1053" style="position:absolute;margin-left:-1.95pt;margin-top:0;width:10.65pt;height:10.05pt;z-index:251681792;mso-position-horizontal-relative:text;mso-position-vertical:bottom;mso-position-vertical-relative:margin">
                  <v:shadow on="t" offset=",3pt" offset2=",2pt"/>
                  <w10:wrap anchory="margin"/>
                </v:rect>
              </w:pict>
            </w:r>
          </w:p>
        </w:tc>
        <w:tc>
          <w:tcPr>
            <w:tcW w:w="2970" w:type="dxa"/>
          </w:tcPr>
          <w:p w:rsidR="001C3709" w:rsidRPr="00E76169" w:rsidRDefault="00056F1E" w:rsidP="007349B9">
            <w:pPr>
              <w:spacing w:after="0" w:line="240" w:lineRule="auto"/>
              <w:rPr>
                <w:sz w:val="24"/>
                <w:szCs w:val="24"/>
              </w:rPr>
            </w:pPr>
            <w:r>
              <w:rPr>
                <w:sz w:val="24"/>
                <w:szCs w:val="24"/>
              </w:rPr>
              <w:t>09</w:t>
            </w:r>
            <w:r w:rsidRPr="00056F1E">
              <w:rPr>
                <w:sz w:val="24"/>
                <w:szCs w:val="24"/>
                <w:vertAlign w:val="superscript"/>
              </w:rPr>
              <w:t>th</w:t>
            </w:r>
            <w:r>
              <w:rPr>
                <w:sz w:val="24"/>
                <w:szCs w:val="24"/>
              </w:rPr>
              <w:t xml:space="preserve"> December 2016</w:t>
            </w:r>
          </w:p>
        </w:tc>
        <w:tc>
          <w:tcPr>
            <w:tcW w:w="270" w:type="dxa"/>
          </w:tcPr>
          <w:p w:rsidR="001C3709" w:rsidRPr="00E76169" w:rsidRDefault="001C3709" w:rsidP="007349B9">
            <w:pPr>
              <w:spacing w:after="0" w:line="240" w:lineRule="auto"/>
              <w:rPr>
                <w:sz w:val="24"/>
                <w:szCs w:val="24"/>
              </w:rPr>
            </w:pPr>
          </w:p>
        </w:tc>
        <w:tc>
          <w:tcPr>
            <w:tcW w:w="270" w:type="dxa"/>
          </w:tcPr>
          <w:p w:rsidR="001C3709" w:rsidRPr="00E76169" w:rsidRDefault="001C3709" w:rsidP="007349B9">
            <w:pPr>
              <w:spacing w:after="0" w:line="240" w:lineRule="auto"/>
              <w:rPr>
                <w:sz w:val="24"/>
                <w:szCs w:val="24"/>
              </w:rPr>
            </w:pPr>
          </w:p>
        </w:tc>
        <w:tc>
          <w:tcPr>
            <w:tcW w:w="270" w:type="dxa"/>
          </w:tcPr>
          <w:p w:rsidR="001C3709" w:rsidRDefault="001C3709" w:rsidP="007349B9">
            <w:pPr>
              <w:spacing w:after="0" w:line="240" w:lineRule="auto"/>
              <w:rPr>
                <w:sz w:val="24"/>
                <w:szCs w:val="24"/>
              </w:rPr>
            </w:pPr>
          </w:p>
        </w:tc>
        <w:tc>
          <w:tcPr>
            <w:tcW w:w="1089" w:type="dxa"/>
          </w:tcPr>
          <w:p w:rsidR="001C3709" w:rsidRDefault="001C3709" w:rsidP="007349B9">
            <w:pPr>
              <w:spacing w:after="0" w:line="240" w:lineRule="auto"/>
              <w:rPr>
                <w:sz w:val="24"/>
                <w:szCs w:val="24"/>
              </w:rPr>
            </w:pPr>
          </w:p>
        </w:tc>
      </w:tr>
    </w:tbl>
    <w:p w:rsidR="001C3709" w:rsidRDefault="001C3709" w:rsidP="001C3709">
      <w:pPr>
        <w:pStyle w:val="Heading2"/>
        <w:jc w:val="left"/>
        <w:rPr>
          <w:sz w:val="16"/>
          <w:szCs w:val="16"/>
        </w:rPr>
      </w:pPr>
    </w:p>
    <w:p w:rsidR="007349B9" w:rsidRDefault="007349B9" w:rsidP="001C3709">
      <w:pPr>
        <w:rPr>
          <w:sz w:val="24"/>
          <w:szCs w:val="24"/>
        </w:rPr>
      </w:pPr>
    </w:p>
    <w:p w:rsidR="001C3709" w:rsidRPr="004E6547" w:rsidRDefault="00EE0958" w:rsidP="001C3709">
      <w:pPr>
        <w:rPr>
          <w:sz w:val="24"/>
          <w:szCs w:val="24"/>
        </w:rPr>
      </w:pPr>
      <w:r w:rsidRPr="00EE0958">
        <w:rPr>
          <w:noProof/>
          <w:color w:val="548DD4" w:themeColor="text2" w:themeTint="99"/>
          <w:sz w:val="24"/>
          <w:szCs w:val="24"/>
        </w:rPr>
        <w:pict>
          <v:shape id="_x0000_s1042" type="#_x0000_t55" style="position:absolute;margin-left:-17.8pt;margin-top:.3pt;width:11.05pt;height:16.85pt;z-index:251674624" strokecolor="#548dd4"/>
        </w:pict>
      </w:r>
      <w:r w:rsidR="001C3709" w:rsidRPr="004E6547">
        <w:rPr>
          <w:sz w:val="24"/>
          <w:szCs w:val="24"/>
        </w:rPr>
        <w:t>Details:</w:t>
      </w:r>
    </w:p>
    <w:tbl>
      <w:tblPr>
        <w:tblW w:w="0" w:type="auto"/>
        <w:tblInd w:w="340" w:type="dxa"/>
        <w:tblLayout w:type="fixed"/>
        <w:tblLook w:val="04A0"/>
      </w:tblPr>
      <w:tblGrid>
        <w:gridCol w:w="2298"/>
        <w:gridCol w:w="284"/>
        <w:gridCol w:w="6280"/>
      </w:tblGrid>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Participant</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NRIC / Passport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Name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Address of Company</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p>
        </w:tc>
        <w:tc>
          <w:tcPr>
            <w:tcW w:w="284" w:type="dxa"/>
            <w:vAlign w:val="center"/>
          </w:tcPr>
          <w:p w:rsidR="001C3709" w:rsidRPr="00E76169" w:rsidRDefault="001C3709" w:rsidP="007349B9">
            <w:pPr>
              <w:spacing w:after="0" w:line="240" w:lineRule="auto"/>
              <w:rPr>
                <w:sz w:val="24"/>
                <w:szCs w:val="24"/>
              </w:rPr>
            </w:pP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Contact Person &amp; Designation</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Tel.#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Fax #</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r w:rsidR="001C3709" w:rsidRPr="00E76169" w:rsidTr="007349B9">
        <w:trPr>
          <w:trHeight w:val="567"/>
        </w:trPr>
        <w:tc>
          <w:tcPr>
            <w:tcW w:w="2298" w:type="dxa"/>
            <w:vAlign w:val="center"/>
          </w:tcPr>
          <w:p w:rsidR="001C3709" w:rsidRPr="00E76169" w:rsidRDefault="001C3709" w:rsidP="007349B9">
            <w:pPr>
              <w:spacing w:after="0" w:line="240" w:lineRule="auto"/>
              <w:rPr>
                <w:sz w:val="24"/>
                <w:szCs w:val="24"/>
              </w:rPr>
            </w:pPr>
            <w:r w:rsidRPr="00E76169">
              <w:rPr>
                <w:sz w:val="24"/>
                <w:szCs w:val="24"/>
              </w:rPr>
              <w:t>E-mail</w:t>
            </w:r>
          </w:p>
        </w:tc>
        <w:tc>
          <w:tcPr>
            <w:tcW w:w="284" w:type="dxa"/>
            <w:vAlign w:val="center"/>
          </w:tcPr>
          <w:p w:rsidR="001C3709" w:rsidRPr="00E76169" w:rsidRDefault="001C3709" w:rsidP="007349B9">
            <w:pPr>
              <w:spacing w:after="0" w:line="240" w:lineRule="auto"/>
              <w:rPr>
                <w:sz w:val="24"/>
                <w:szCs w:val="24"/>
              </w:rPr>
            </w:pPr>
            <w:r w:rsidRPr="00E76169">
              <w:rPr>
                <w:sz w:val="24"/>
                <w:szCs w:val="24"/>
              </w:rPr>
              <w:t>:</w:t>
            </w:r>
          </w:p>
        </w:tc>
        <w:tc>
          <w:tcPr>
            <w:tcW w:w="6280" w:type="dxa"/>
            <w:tcBorders>
              <w:top w:val="single" w:sz="4" w:space="0" w:color="auto"/>
              <w:bottom w:val="single" w:sz="4" w:space="0" w:color="auto"/>
            </w:tcBorders>
            <w:vAlign w:val="center"/>
          </w:tcPr>
          <w:p w:rsidR="001C3709" w:rsidRPr="00E76169" w:rsidRDefault="001C3709" w:rsidP="007349B9">
            <w:pPr>
              <w:spacing w:after="0" w:line="240" w:lineRule="auto"/>
              <w:rPr>
                <w:sz w:val="24"/>
                <w:szCs w:val="24"/>
              </w:rPr>
            </w:pPr>
          </w:p>
        </w:tc>
      </w:tr>
    </w:tbl>
    <w:p w:rsidR="001C3709" w:rsidRDefault="001C3709" w:rsidP="001C3709"/>
    <w:p w:rsidR="00191908" w:rsidRDefault="00191908" w:rsidP="001C3709">
      <w:pPr>
        <w:spacing w:after="0" w:line="240" w:lineRule="auto"/>
        <w:jc w:val="center"/>
        <w:rPr>
          <w:noProof/>
          <w:sz w:val="24"/>
          <w:szCs w:val="24"/>
        </w:rPr>
      </w:pPr>
    </w:p>
    <w:p w:rsidR="001C3709" w:rsidRDefault="00EE0958" w:rsidP="001C3709">
      <w:pPr>
        <w:spacing w:after="0" w:line="240" w:lineRule="auto"/>
        <w:jc w:val="center"/>
        <w:rPr>
          <w:noProof/>
          <w:sz w:val="24"/>
          <w:szCs w:val="24"/>
        </w:rPr>
      </w:pPr>
      <w:r>
        <w:rPr>
          <w:noProof/>
          <w:sz w:val="24"/>
          <w:szCs w:val="24"/>
        </w:rPr>
        <w:pict>
          <v:shape id="_x0000_s1043" type="#_x0000_t55" style="position:absolute;left:0;text-align:left;margin-left:-17.8pt;margin-top:.2pt;width:11.05pt;height:16.85pt;z-index:251675648" strokecolor="#548dd4"/>
        </w:pict>
      </w:r>
      <w:r w:rsidR="001C3709" w:rsidRPr="00E94F5F">
        <w:rPr>
          <w:noProof/>
          <w:sz w:val="24"/>
          <w:szCs w:val="24"/>
        </w:rPr>
        <w:t>TO REGISTER, PLEASE CALL 03-7958 8001 / 03-7958 8002 OR</w:t>
      </w:r>
    </w:p>
    <w:p w:rsidR="001C3709" w:rsidRDefault="001C3709" w:rsidP="001C3709">
      <w:pPr>
        <w:spacing w:after="0" w:line="240" w:lineRule="auto"/>
        <w:jc w:val="center"/>
        <w:rPr>
          <w:noProof/>
          <w:sz w:val="24"/>
          <w:szCs w:val="24"/>
        </w:rPr>
      </w:pPr>
      <w:r w:rsidRPr="00E94F5F">
        <w:rPr>
          <w:noProof/>
          <w:sz w:val="24"/>
          <w:szCs w:val="24"/>
        </w:rPr>
        <w:t>FAX REGISTRATION FORM TO:</w:t>
      </w:r>
      <w:r>
        <w:rPr>
          <w:noProof/>
          <w:sz w:val="24"/>
          <w:szCs w:val="24"/>
        </w:rPr>
        <w:t xml:space="preserve"> </w:t>
      </w:r>
      <w:r w:rsidR="00D72256">
        <w:rPr>
          <w:noProof/>
          <w:sz w:val="24"/>
          <w:szCs w:val="24"/>
        </w:rPr>
        <w:t>03-7954 8001</w:t>
      </w:r>
      <w:r w:rsidRPr="00E94F5F">
        <w:rPr>
          <w:noProof/>
          <w:sz w:val="24"/>
          <w:szCs w:val="24"/>
        </w:rPr>
        <w:t xml:space="preserve"> OR</w:t>
      </w:r>
    </w:p>
    <w:p w:rsidR="001C3709" w:rsidRPr="00C97D66" w:rsidRDefault="001C3709" w:rsidP="001C3709">
      <w:pPr>
        <w:spacing w:after="0" w:line="240" w:lineRule="auto"/>
        <w:jc w:val="center"/>
        <w:rPr>
          <w:noProof/>
          <w:color w:val="548DD4" w:themeColor="text2" w:themeTint="99"/>
          <w:sz w:val="24"/>
          <w:szCs w:val="24"/>
        </w:rPr>
      </w:pPr>
      <w:r w:rsidRPr="00E94F5F">
        <w:rPr>
          <w:noProof/>
          <w:sz w:val="24"/>
          <w:szCs w:val="24"/>
        </w:rPr>
        <w:t>E-MAIL TO: sophiah@bursatra.com.my</w:t>
      </w:r>
    </w:p>
    <w:p w:rsidR="001C3709" w:rsidRDefault="001C3709" w:rsidP="00374D0B">
      <w:pPr>
        <w:jc w:val="both"/>
        <w:rPr>
          <w:sz w:val="20"/>
          <w:szCs w:val="20"/>
        </w:rPr>
      </w:pPr>
    </w:p>
    <w:p w:rsidR="00056F1E" w:rsidRPr="00374D0B" w:rsidRDefault="00056F1E" w:rsidP="00056F1E">
      <w:pPr>
        <w:jc w:val="center"/>
        <w:rPr>
          <w:sz w:val="20"/>
          <w:szCs w:val="20"/>
        </w:rPr>
      </w:pPr>
      <w:r w:rsidRPr="00056F1E">
        <w:rPr>
          <w:sz w:val="20"/>
          <w:szCs w:val="20"/>
        </w:rPr>
        <w:t>BURSATRA SDN BHD IS A REGISTERED TRAINING PROVIDER WITH PSMB (Reg. No: 520353-U)</w:t>
      </w:r>
    </w:p>
    <w:sectPr w:rsidR="00056F1E" w:rsidRPr="00374D0B" w:rsidSect="000230E8">
      <w:type w:val="continuous"/>
      <w:pgSz w:w="12240" w:h="15840"/>
      <w:pgMar w:top="1440" w:right="1440" w:bottom="1440" w:left="1440" w:header="720" w:footer="720" w:gutter="0"/>
      <w:cols w:sep="1"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240" w:rsidRDefault="00FA4240" w:rsidP="00C4570F">
      <w:pPr>
        <w:spacing w:after="0" w:line="240" w:lineRule="auto"/>
      </w:pPr>
      <w:r>
        <w:separator/>
      </w:r>
    </w:p>
  </w:endnote>
  <w:endnote w:type="continuationSeparator" w:id="0">
    <w:p w:rsidR="00FA4240" w:rsidRDefault="00FA4240" w:rsidP="00C457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12A" w:rsidRDefault="00C33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70" w:rsidRPr="00FE2470" w:rsidRDefault="00FE2470" w:rsidP="00FE2470">
    <w:pPr>
      <w:pStyle w:val="Footer"/>
      <w:rPr>
        <w:i/>
      </w:rPr>
    </w:pPr>
    <w:r w:rsidRPr="00FE2470">
      <w:rPr>
        <w:i/>
      </w:rPr>
      <w:t>Financial Management and Reporting</w:t>
    </w:r>
  </w:p>
  <w:p w:rsidR="00FE2470" w:rsidRPr="00FE2470" w:rsidRDefault="00FE2470">
    <w:pPr>
      <w:pStyle w:val="Footer"/>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70" w:rsidRPr="00FE2470" w:rsidRDefault="00FE2470" w:rsidP="00FE2470">
    <w:pPr>
      <w:pStyle w:val="Footer"/>
      <w:rPr>
        <w:i/>
      </w:rPr>
    </w:pPr>
    <w:r>
      <w:rPr>
        <w:i/>
      </w:rPr>
      <w:t>Financial Managemen</w:t>
    </w:r>
    <w:r w:rsidR="009D7515">
      <w:rPr>
        <w:i/>
      </w:rPr>
      <w:t>t</w:t>
    </w:r>
    <w:r>
      <w:rPr>
        <w:i/>
      </w:rPr>
      <w:t xml:space="preserve"> and Reporting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240" w:rsidRDefault="00FA4240" w:rsidP="00C4570F">
      <w:pPr>
        <w:spacing w:after="0" w:line="240" w:lineRule="auto"/>
      </w:pPr>
      <w:r>
        <w:separator/>
      </w:r>
    </w:p>
  </w:footnote>
  <w:footnote w:type="continuationSeparator" w:id="0">
    <w:p w:rsidR="00FA4240" w:rsidRDefault="00FA4240" w:rsidP="00C457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EE09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6" o:spid="_x0000_s2069" type="#_x0000_t75" style="position:absolute;margin-left:0;margin-top:0;width:467.9pt;height:356.1pt;z-index:-25165721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EE09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7" o:spid="_x0000_s2070" type="#_x0000_t75" style="position:absolute;margin-left:0;margin-top:0;width:467.9pt;height:356.1pt;z-index:-25165619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70F" w:rsidRDefault="00EE09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80375" o:spid="_x0000_s2068" type="#_x0000_t75" style="position:absolute;margin-left:0;margin-top:0;width:467.9pt;height:356.1pt;z-index:-251658240;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3005A"/>
    <w:multiLevelType w:val="hybridMultilevel"/>
    <w:tmpl w:val="5632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E7953"/>
    <w:multiLevelType w:val="hybridMultilevel"/>
    <w:tmpl w:val="579A1884"/>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A5063"/>
    <w:multiLevelType w:val="hybridMultilevel"/>
    <w:tmpl w:val="4BD233F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244E7"/>
    <w:multiLevelType w:val="hybridMultilevel"/>
    <w:tmpl w:val="1730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26BB0"/>
    <w:multiLevelType w:val="hybridMultilevel"/>
    <w:tmpl w:val="1D76777A"/>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35A27"/>
    <w:multiLevelType w:val="hybridMultilevel"/>
    <w:tmpl w:val="71A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4043FE"/>
    <w:multiLevelType w:val="hybridMultilevel"/>
    <w:tmpl w:val="4AEA445E"/>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B5F70"/>
    <w:multiLevelType w:val="hybridMultilevel"/>
    <w:tmpl w:val="09C08E9C"/>
    <w:lvl w:ilvl="0" w:tplc="B386C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27D9C"/>
    <w:multiLevelType w:val="hybridMultilevel"/>
    <w:tmpl w:val="57A0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B45D5B"/>
    <w:multiLevelType w:val="hybridMultilevel"/>
    <w:tmpl w:val="79D2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5"/>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06374D"/>
    <w:rsid w:val="000230E8"/>
    <w:rsid w:val="00056F1E"/>
    <w:rsid w:val="0006374D"/>
    <w:rsid w:val="00071E72"/>
    <w:rsid w:val="0007636E"/>
    <w:rsid w:val="000A4984"/>
    <w:rsid w:val="00102AC5"/>
    <w:rsid w:val="00111DAD"/>
    <w:rsid w:val="00140868"/>
    <w:rsid w:val="00146609"/>
    <w:rsid w:val="00183B42"/>
    <w:rsid w:val="00191908"/>
    <w:rsid w:val="001B6AE2"/>
    <w:rsid w:val="001C3709"/>
    <w:rsid w:val="00252425"/>
    <w:rsid w:val="002C5C8D"/>
    <w:rsid w:val="002D6F5E"/>
    <w:rsid w:val="00333670"/>
    <w:rsid w:val="0035607B"/>
    <w:rsid w:val="00374D0B"/>
    <w:rsid w:val="004D32C8"/>
    <w:rsid w:val="00557991"/>
    <w:rsid w:val="005806E6"/>
    <w:rsid w:val="005D234E"/>
    <w:rsid w:val="00620F38"/>
    <w:rsid w:val="00653F1C"/>
    <w:rsid w:val="007349B9"/>
    <w:rsid w:val="0074794A"/>
    <w:rsid w:val="00792F82"/>
    <w:rsid w:val="00800839"/>
    <w:rsid w:val="00833E8D"/>
    <w:rsid w:val="00870E35"/>
    <w:rsid w:val="00890A4F"/>
    <w:rsid w:val="008D444E"/>
    <w:rsid w:val="00916FB5"/>
    <w:rsid w:val="00977688"/>
    <w:rsid w:val="009D7515"/>
    <w:rsid w:val="009F28CE"/>
    <w:rsid w:val="00AD5DA3"/>
    <w:rsid w:val="00B259CD"/>
    <w:rsid w:val="00B26521"/>
    <w:rsid w:val="00B27B93"/>
    <w:rsid w:val="00C243C4"/>
    <w:rsid w:val="00C3312A"/>
    <w:rsid w:val="00C34640"/>
    <w:rsid w:val="00C4570F"/>
    <w:rsid w:val="00D40625"/>
    <w:rsid w:val="00D5577B"/>
    <w:rsid w:val="00D7032B"/>
    <w:rsid w:val="00D72256"/>
    <w:rsid w:val="00DF00E4"/>
    <w:rsid w:val="00E11DAF"/>
    <w:rsid w:val="00E36D2B"/>
    <w:rsid w:val="00E45B4D"/>
    <w:rsid w:val="00E72ADB"/>
    <w:rsid w:val="00EA763B"/>
    <w:rsid w:val="00ED48FD"/>
    <w:rsid w:val="00ED7F0B"/>
    <w:rsid w:val="00EE0958"/>
    <w:rsid w:val="00FA4240"/>
    <w:rsid w:val="00FE2470"/>
    <w:rsid w:val="00FE2F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09"/>
  </w:style>
  <w:style w:type="paragraph" w:styleId="Heading2">
    <w:name w:val="heading 2"/>
    <w:basedOn w:val="Normal"/>
    <w:next w:val="Normal"/>
    <w:link w:val="Heading2Char"/>
    <w:qFormat/>
    <w:rsid w:val="001C3709"/>
    <w:pPr>
      <w:keepNext/>
      <w:spacing w:after="0" w:line="240" w:lineRule="auto"/>
      <w:jc w:val="center"/>
      <w:outlineLvl w:val="1"/>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74D"/>
    <w:pPr>
      <w:spacing w:after="0" w:line="240" w:lineRule="auto"/>
    </w:pPr>
    <w:rPr>
      <w:rFonts w:eastAsiaTheme="minorEastAsia"/>
    </w:rPr>
  </w:style>
  <w:style w:type="character" w:customStyle="1" w:styleId="NoSpacingChar">
    <w:name w:val="No Spacing Char"/>
    <w:basedOn w:val="DefaultParagraphFont"/>
    <w:link w:val="NoSpacing"/>
    <w:uiPriority w:val="1"/>
    <w:rsid w:val="0006374D"/>
    <w:rPr>
      <w:rFonts w:eastAsiaTheme="minorEastAsia"/>
    </w:rPr>
  </w:style>
  <w:style w:type="paragraph" w:styleId="BalloonText">
    <w:name w:val="Balloon Text"/>
    <w:basedOn w:val="Normal"/>
    <w:link w:val="BalloonTextChar"/>
    <w:uiPriority w:val="99"/>
    <w:semiHidden/>
    <w:unhideWhenUsed/>
    <w:rsid w:val="0006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74D"/>
    <w:rPr>
      <w:rFonts w:ascii="Tahoma" w:hAnsi="Tahoma" w:cs="Tahoma"/>
      <w:sz w:val="16"/>
      <w:szCs w:val="16"/>
    </w:rPr>
  </w:style>
  <w:style w:type="paragraph" w:styleId="ListParagraph">
    <w:name w:val="List Paragraph"/>
    <w:basedOn w:val="Normal"/>
    <w:uiPriority w:val="34"/>
    <w:qFormat/>
    <w:rsid w:val="00374D0B"/>
    <w:pPr>
      <w:ind w:left="720"/>
      <w:contextualSpacing/>
    </w:pPr>
  </w:style>
  <w:style w:type="table" w:styleId="TableGrid">
    <w:name w:val="Table Grid"/>
    <w:basedOn w:val="TableNormal"/>
    <w:uiPriority w:val="59"/>
    <w:rsid w:val="008D4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457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570F"/>
  </w:style>
  <w:style w:type="paragraph" w:styleId="Footer">
    <w:name w:val="footer"/>
    <w:basedOn w:val="Normal"/>
    <w:link w:val="FooterChar"/>
    <w:uiPriority w:val="99"/>
    <w:unhideWhenUsed/>
    <w:rsid w:val="00C45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70F"/>
  </w:style>
  <w:style w:type="character" w:customStyle="1" w:styleId="Heading2Char">
    <w:name w:val="Heading 2 Char"/>
    <w:basedOn w:val="DefaultParagraphFont"/>
    <w:link w:val="Heading2"/>
    <w:rsid w:val="001C3709"/>
    <w:rPr>
      <w:rFonts w:ascii="Arial" w:eastAsia="Times New Roman" w:hAnsi="Arial" w:cs="Times New Roman"/>
      <w:b/>
      <w:sz w:val="24"/>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7396F-429A-44FC-996C-FC6CBA81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Comprehending Financial Statements For Directors and Senior Management</vt:lpstr>
    </vt:vector>
  </TitlesOfParts>
  <Company>Proxy</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Malaysian Financial Reporting Standards(MFRS) Made Simple for Directors and Senior Management</dc:title>
  <dc:subject/>
  <dc:creator>Azlan</dc:creator>
  <cp:keywords/>
  <dc:description/>
  <cp:lastModifiedBy>Azlan</cp:lastModifiedBy>
  <cp:revision>16</cp:revision>
  <cp:lastPrinted>2016-08-16T16:52:00Z</cp:lastPrinted>
  <dcterms:created xsi:type="dcterms:W3CDTF">2015-09-18T18:25:00Z</dcterms:created>
  <dcterms:modified xsi:type="dcterms:W3CDTF">2016-08-16T16:55:00Z</dcterms:modified>
</cp:coreProperties>
</file>